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36" w:space="0" w:color="999999"/>
          <w:left w:val="single" w:sz="36" w:space="0" w:color="999999"/>
          <w:bottom w:val="single" w:sz="36" w:space="0" w:color="999999"/>
          <w:right w:val="single" w:sz="36" w:space="0" w:color="999999"/>
        </w:tblBorders>
        <w:tblLook w:val="0000" w:firstRow="0" w:lastRow="0" w:firstColumn="0" w:lastColumn="0" w:noHBand="0" w:noVBand="0"/>
      </w:tblPr>
      <w:tblGrid>
        <w:gridCol w:w="2847"/>
        <w:gridCol w:w="1162"/>
        <w:gridCol w:w="3299"/>
        <w:gridCol w:w="552"/>
        <w:gridCol w:w="3314"/>
        <w:gridCol w:w="1020"/>
        <w:gridCol w:w="2980"/>
      </w:tblGrid>
      <w:tr w:rsidR="003B4761" w:rsidTr="00DD7F06">
        <w:trPr>
          <w:cantSplit/>
          <w:trHeight w:val="275"/>
        </w:trPr>
        <w:tc>
          <w:tcPr>
            <w:tcW w:w="1321" w:type="pct"/>
            <w:gridSpan w:val="2"/>
            <w:vMerge w:val="restart"/>
          </w:tcPr>
          <w:p w:rsidR="003B4761" w:rsidRDefault="00DD7F06">
            <w:pPr>
              <w:jc w:val="center"/>
              <w:rPr>
                <w:sz w:val="16"/>
              </w:rPr>
            </w:pPr>
            <w:bookmarkStart w:id="0" w:name="_GoBack"/>
            <w:bookmarkEnd w:id="0"/>
            <w:r w:rsidRPr="006820FD">
              <w:rPr>
                <w:rFonts w:ascii="Arial" w:hAnsi="Arial" w:cs="Arial"/>
                <w:noProof/>
                <w:sz w:val="20"/>
                <w:szCs w:val="20"/>
              </w:rPr>
              <w:drawing>
                <wp:inline distT="0" distB="0" distL="0" distR="0">
                  <wp:extent cx="1028700" cy="1028700"/>
                  <wp:effectExtent l="0" t="0" r="0" b="0"/>
                  <wp:docPr id="1" name="Picture 1" descr="ldeq-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q-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3B4761" w:rsidRDefault="003B4761">
            <w:pPr>
              <w:jc w:val="center"/>
            </w:pPr>
          </w:p>
        </w:tc>
        <w:tc>
          <w:tcPr>
            <w:tcW w:w="2361" w:type="pct"/>
            <w:gridSpan w:val="3"/>
          </w:tcPr>
          <w:p w:rsidR="003B4761" w:rsidRPr="00DD7F06" w:rsidRDefault="003B4761">
            <w:pPr>
              <w:jc w:val="center"/>
              <w:rPr>
                <w:rFonts w:ascii="Arial" w:hAnsi="Arial" w:cs="Arial"/>
                <w:b/>
                <w:bCs/>
                <w:outline/>
                <w:color w:val="000000"/>
                <w:sz w:val="12"/>
                <w14:textOutline w14:w="9525" w14:cap="flat" w14:cmpd="sng" w14:algn="ctr">
                  <w14:solidFill>
                    <w14:srgbClr w14:val="000000"/>
                  </w14:solidFill>
                  <w14:prstDash w14:val="solid"/>
                  <w14:round/>
                </w14:textOutline>
                <w14:textFill>
                  <w14:noFill/>
                </w14:textFill>
              </w:rPr>
            </w:pPr>
          </w:p>
          <w:p w:rsidR="003B4761" w:rsidRPr="00DD7F06" w:rsidRDefault="003B4761">
            <w:pPr>
              <w:jc w:val="center"/>
              <w:rPr>
                <w:rFonts w:ascii="Arial" w:hAnsi="Arial" w:cs="Arial"/>
                <w:b/>
                <w:bCs/>
                <w:sz w:val="16"/>
                <w14:shadow w14:blurRad="50800" w14:dist="38100" w14:dir="2700000" w14:sx="100000" w14:sy="100000" w14:kx="0" w14:ky="0" w14:algn="tl">
                  <w14:srgbClr w14:val="000000">
                    <w14:alpha w14:val="60000"/>
                  </w14:srgbClr>
                </w14:shadow>
              </w:rPr>
            </w:pPr>
            <w:r w:rsidRPr="00DD7F06">
              <w:rPr>
                <w:rFonts w:ascii="Arial" w:hAnsi="Arial" w:cs="Arial"/>
                <w:b/>
                <w:bCs/>
                <w:sz w:val="40"/>
                <w14:shadow w14:blurRad="50800" w14:dist="38100" w14:dir="2700000" w14:sx="100000" w14:sy="100000" w14:kx="0" w14:ky="0" w14:algn="tl">
                  <w14:srgbClr w14:val="000000">
                    <w14:alpha w14:val="60000"/>
                  </w14:srgbClr>
                </w14:shadow>
              </w:rPr>
              <w:t>NOTICE TO EMPLOYEES</w:t>
            </w:r>
          </w:p>
          <w:p w:rsidR="003B4761" w:rsidRPr="00DD7F06" w:rsidRDefault="003B4761">
            <w:pPr>
              <w:jc w:val="center"/>
              <w:rPr>
                <w:rFonts w:ascii="Arial" w:hAnsi="Arial" w:cs="Arial"/>
                <w:b/>
                <w:bCs/>
                <w:outline/>
                <w:color w:val="000000"/>
                <w:sz w:val="12"/>
                <w14:textOutline w14:w="9525" w14:cap="flat" w14:cmpd="sng" w14:algn="ctr">
                  <w14:solidFill>
                    <w14:srgbClr w14:val="000000"/>
                  </w14:solidFill>
                  <w14:prstDash w14:val="solid"/>
                  <w14:round/>
                </w14:textOutline>
                <w14:textFill>
                  <w14:noFill/>
                </w14:textFill>
              </w:rPr>
            </w:pPr>
          </w:p>
        </w:tc>
        <w:tc>
          <w:tcPr>
            <w:tcW w:w="1318" w:type="pct"/>
            <w:gridSpan w:val="2"/>
          </w:tcPr>
          <w:p w:rsidR="003B4761" w:rsidRDefault="003B4761">
            <w:pPr>
              <w:jc w:val="center"/>
            </w:pPr>
          </w:p>
        </w:tc>
      </w:tr>
      <w:tr w:rsidR="003B4761" w:rsidTr="00DD7F06">
        <w:trPr>
          <w:cantSplit/>
          <w:trHeight w:val="275"/>
        </w:trPr>
        <w:tc>
          <w:tcPr>
            <w:tcW w:w="1321" w:type="pct"/>
            <w:gridSpan w:val="2"/>
            <w:vMerge/>
          </w:tcPr>
          <w:p w:rsidR="003B4761" w:rsidRDefault="003B4761">
            <w:pPr>
              <w:jc w:val="center"/>
            </w:pPr>
          </w:p>
        </w:tc>
        <w:tc>
          <w:tcPr>
            <w:tcW w:w="2361" w:type="pct"/>
            <w:gridSpan w:val="3"/>
          </w:tcPr>
          <w:p w:rsidR="003B4761" w:rsidRDefault="003B4761">
            <w:pPr>
              <w:pStyle w:val="Heading5"/>
              <w:spacing w:line="140" w:lineRule="atLeast"/>
              <w:rPr>
                <w:sz w:val="22"/>
              </w:rPr>
            </w:pPr>
            <w:r>
              <w:rPr>
                <w:sz w:val="22"/>
              </w:rPr>
              <w:t>LOUISIANA DEPARTMENT OF ENVIRONMENTAL QUALITY</w:t>
            </w:r>
          </w:p>
          <w:p w:rsidR="003B4761" w:rsidRDefault="00FB7B9F">
            <w:pPr>
              <w:pStyle w:val="Heading1"/>
              <w:spacing w:line="160" w:lineRule="atLeast"/>
              <w:rPr>
                <w:sz w:val="22"/>
              </w:rPr>
            </w:pPr>
            <w:r w:rsidRPr="00FB7B9F">
              <w:rPr>
                <w:sz w:val="22"/>
              </w:rPr>
              <w:t>OFFICE OF ENVIRONMENTAL COMPLIANCE</w:t>
            </w:r>
          </w:p>
          <w:p w:rsidR="00FB7B9F" w:rsidRPr="00FB7B9F" w:rsidRDefault="00F31FC0" w:rsidP="00FB7B9F">
            <w:pPr>
              <w:pStyle w:val="Heading1"/>
              <w:spacing w:line="160" w:lineRule="atLeast"/>
              <w:rPr>
                <w:sz w:val="22"/>
              </w:rPr>
            </w:pPr>
            <w:r>
              <w:rPr>
                <w:sz w:val="22"/>
              </w:rPr>
              <w:t>RADIATION SECTION</w:t>
            </w:r>
          </w:p>
          <w:p w:rsidR="003B4761" w:rsidRDefault="003B4761">
            <w:pPr>
              <w:pStyle w:val="Heading1"/>
              <w:spacing w:line="160" w:lineRule="atLeast"/>
            </w:pPr>
            <w:r>
              <w:t>RADIATION NOTICE</w:t>
            </w:r>
          </w:p>
        </w:tc>
        <w:tc>
          <w:tcPr>
            <w:tcW w:w="1318" w:type="pct"/>
            <w:gridSpan w:val="2"/>
          </w:tcPr>
          <w:p w:rsidR="003B4761" w:rsidRDefault="003B4761">
            <w:pPr>
              <w:jc w:val="center"/>
            </w:pPr>
          </w:p>
        </w:tc>
      </w:tr>
      <w:tr w:rsidR="003B4761" w:rsidTr="00DD7F06">
        <w:trPr>
          <w:cantSplit/>
          <w:trHeight w:val="275"/>
        </w:trPr>
        <w:tc>
          <w:tcPr>
            <w:tcW w:w="1321" w:type="pct"/>
            <w:gridSpan w:val="2"/>
            <w:vMerge/>
          </w:tcPr>
          <w:p w:rsidR="003B4761" w:rsidRDefault="003B4761">
            <w:pPr>
              <w:jc w:val="center"/>
            </w:pPr>
          </w:p>
        </w:tc>
        <w:tc>
          <w:tcPr>
            <w:tcW w:w="2361" w:type="pct"/>
            <w:gridSpan w:val="3"/>
          </w:tcPr>
          <w:p w:rsidR="003B4761" w:rsidRDefault="003B4761">
            <w:pPr>
              <w:spacing w:line="160" w:lineRule="atLeast"/>
              <w:jc w:val="center"/>
              <w:rPr>
                <w:rFonts w:ascii="Bookman Old Style" w:hAnsi="Bookman Old Style"/>
                <w:sz w:val="18"/>
              </w:rPr>
            </w:pPr>
            <w:r>
              <w:rPr>
                <w:rFonts w:ascii="Bookman Old Style" w:hAnsi="Bookman Old Style"/>
                <w:sz w:val="18"/>
              </w:rPr>
              <w:t>STANDARDS FOR PROTECTION AGAINST RADIATION</w:t>
            </w:r>
          </w:p>
          <w:p w:rsidR="003B4761" w:rsidRDefault="003B4761">
            <w:pPr>
              <w:jc w:val="center"/>
            </w:pPr>
            <w:r>
              <w:rPr>
                <w:rFonts w:ascii="Bookman Old Style" w:hAnsi="Bookman Old Style"/>
                <w:sz w:val="18"/>
              </w:rPr>
              <w:t>NOTICES, INSTRUCTIONS &amp; REPORTS TO WORKERS; INSPECTIONS</w:t>
            </w:r>
          </w:p>
        </w:tc>
        <w:tc>
          <w:tcPr>
            <w:tcW w:w="1318" w:type="pct"/>
            <w:gridSpan w:val="2"/>
          </w:tcPr>
          <w:p w:rsidR="003B4761" w:rsidRDefault="003B4761">
            <w:pPr>
              <w:jc w:val="center"/>
            </w:pPr>
          </w:p>
        </w:tc>
      </w:tr>
      <w:tr w:rsidR="003B4761" w:rsidTr="00DD7F06">
        <w:tc>
          <w:tcPr>
            <w:tcW w:w="5000" w:type="pct"/>
            <w:gridSpan w:val="7"/>
          </w:tcPr>
          <w:p w:rsidR="003B4761" w:rsidRPr="00F82B5F" w:rsidRDefault="003B4761" w:rsidP="00FC681D">
            <w:pPr>
              <w:pStyle w:val="BodyText"/>
              <w:spacing w:before="120" w:after="120"/>
              <w:jc w:val="center"/>
            </w:pPr>
            <w:r w:rsidRPr="00F82B5F">
              <w:t>In the Louisiana Administrative Code LAC 33:XV (Louisiana Radiation Regulations), the Secretary has established standards for your protection against radiation hazards and has established certain provisions for the options of workers engaged in work under a license or registration certificate issued by the Department.</w:t>
            </w:r>
          </w:p>
        </w:tc>
      </w:tr>
      <w:tr w:rsidR="003B4761" w:rsidTr="00DD7F06">
        <w:trPr>
          <w:cantSplit/>
        </w:trPr>
        <w:tc>
          <w:tcPr>
            <w:tcW w:w="2408" w:type="pct"/>
            <w:gridSpan w:val="3"/>
          </w:tcPr>
          <w:p w:rsidR="003B4761" w:rsidRDefault="003B4761">
            <w:pPr>
              <w:pStyle w:val="Heading2"/>
              <w:jc w:val="both"/>
              <w:rPr>
                <w:sz w:val="16"/>
              </w:rPr>
            </w:pPr>
            <w:r>
              <w:rPr>
                <w:sz w:val="16"/>
              </w:rPr>
              <w:t>YOUR EMPLOYER’S RESPONSIBILITY</w:t>
            </w:r>
          </w:p>
          <w:p w:rsidR="003B4761" w:rsidRDefault="003B4761">
            <w:pPr>
              <w:jc w:val="both"/>
              <w:rPr>
                <w:b/>
                <w:sz w:val="16"/>
              </w:rPr>
            </w:pPr>
          </w:p>
          <w:p w:rsidR="003B4761" w:rsidRDefault="003B4761">
            <w:pPr>
              <w:jc w:val="both"/>
              <w:rPr>
                <w:sz w:val="16"/>
              </w:rPr>
            </w:pPr>
            <w:r>
              <w:rPr>
                <w:sz w:val="16"/>
              </w:rPr>
              <w:t>Your employer is required to—</w:t>
            </w:r>
          </w:p>
          <w:p w:rsidR="003B4761" w:rsidRDefault="003B4761">
            <w:pPr>
              <w:jc w:val="both"/>
              <w:rPr>
                <w:sz w:val="16"/>
              </w:rPr>
            </w:pPr>
          </w:p>
          <w:p w:rsidR="003B4761" w:rsidRPr="00F82B5F" w:rsidRDefault="003B4761" w:rsidP="00F82B5F">
            <w:pPr>
              <w:pStyle w:val="ListParagraph"/>
              <w:numPr>
                <w:ilvl w:val="0"/>
                <w:numId w:val="1"/>
              </w:numPr>
              <w:jc w:val="both"/>
              <w:rPr>
                <w:sz w:val="16"/>
              </w:rPr>
            </w:pPr>
            <w:r w:rsidRPr="00F82B5F">
              <w:rPr>
                <w:sz w:val="16"/>
              </w:rPr>
              <w:t>Apply these regulations and the conditions of his/her license or registration certificate to work involving sources of radiation.</w:t>
            </w:r>
          </w:p>
          <w:p w:rsidR="003B4761" w:rsidRDefault="003B4761">
            <w:pPr>
              <w:numPr>
                <w:ilvl w:val="0"/>
                <w:numId w:val="1"/>
              </w:numPr>
              <w:jc w:val="both"/>
              <w:rPr>
                <w:sz w:val="16"/>
              </w:rPr>
            </w:pPr>
            <w:r>
              <w:rPr>
                <w:sz w:val="16"/>
              </w:rPr>
              <w:t>Post, or otherwise make available to you, a copy of LAC 33:XV (Louisiana Radiation Regulations), licenses, registration certificates and operating procedures which apply to work in which you are engaged and to explain their provisions to you.  These documents are available at</w:t>
            </w:r>
          </w:p>
          <w:p w:rsidR="003B4761" w:rsidRDefault="003B4761">
            <w:pPr>
              <w:pBdr>
                <w:bottom w:val="single" w:sz="12" w:space="1" w:color="auto"/>
              </w:pBdr>
              <w:ind w:left="720"/>
              <w:jc w:val="both"/>
              <w:rPr>
                <w:sz w:val="16"/>
              </w:rPr>
            </w:pPr>
          </w:p>
          <w:p w:rsidR="003B4761" w:rsidRDefault="003B4761">
            <w:pPr>
              <w:pBdr>
                <w:bottom w:val="single" w:sz="12" w:space="1" w:color="auto"/>
              </w:pBdr>
              <w:ind w:left="720"/>
              <w:jc w:val="both"/>
              <w:rPr>
                <w:sz w:val="16"/>
              </w:rPr>
            </w:pPr>
          </w:p>
          <w:p w:rsidR="003B4761" w:rsidRDefault="003B4761">
            <w:pPr>
              <w:jc w:val="both"/>
              <w:rPr>
                <w:sz w:val="16"/>
              </w:rPr>
            </w:pPr>
          </w:p>
          <w:p w:rsidR="003B4761" w:rsidRDefault="003B4761">
            <w:pPr>
              <w:numPr>
                <w:ilvl w:val="0"/>
                <w:numId w:val="1"/>
              </w:numPr>
              <w:jc w:val="both"/>
              <w:rPr>
                <w:sz w:val="16"/>
              </w:rPr>
            </w:pPr>
            <w:r>
              <w:rPr>
                <w:sz w:val="16"/>
              </w:rPr>
              <w:t>Post all notices of violation involving radiological working conditions, proposed imposition of civil penalties and orders.</w:t>
            </w:r>
          </w:p>
          <w:p w:rsidR="003B4761" w:rsidRDefault="003B4761">
            <w:pPr>
              <w:jc w:val="both"/>
              <w:rPr>
                <w:sz w:val="16"/>
              </w:rPr>
            </w:pPr>
          </w:p>
          <w:p w:rsidR="003B4761" w:rsidRDefault="003B4761">
            <w:pPr>
              <w:jc w:val="both"/>
              <w:rPr>
                <w:sz w:val="16"/>
              </w:rPr>
            </w:pPr>
          </w:p>
          <w:p w:rsidR="003B4761" w:rsidRDefault="003B4761">
            <w:pPr>
              <w:jc w:val="both"/>
              <w:rPr>
                <w:b/>
                <w:bCs/>
                <w:sz w:val="16"/>
              </w:rPr>
            </w:pPr>
            <w:r>
              <w:rPr>
                <w:b/>
                <w:bCs/>
                <w:sz w:val="16"/>
              </w:rPr>
              <w:t xml:space="preserve">YOUR RESPONSIBILITY AS A WORKER </w:t>
            </w:r>
          </w:p>
          <w:p w:rsidR="003B4761" w:rsidRDefault="003B4761">
            <w:pPr>
              <w:jc w:val="both"/>
              <w:rPr>
                <w:sz w:val="16"/>
              </w:rPr>
            </w:pPr>
          </w:p>
          <w:p w:rsidR="003B4761" w:rsidRDefault="003B4761">
            <w:pPr>
              <w:jc w:val="both"/>
              <w:rPr>
                <w:sz w:val="16"/>
              </w:rPr>
            </w:pPr>
            <w:r>
              <w:rPr>
                <w:sz w:val="16"/>
              </w:rPr>
              <w:t>You should familiarize yourself with those provisions of LAC 33:XV (Louisiana Radiation Regulations) and the operating procedures which apply to the work in which you are engaged.  You should observe their provisions for your own protection and the protection of your co-workers.</w:t>
            </w:r>
          </w:p>
          <w:p w:rsidR="003B4761" w:rsidRDefault="003B4761">
            <w:pPr>
              <w:jc w:val="both"/>
              <w:rPr>
                <w:sz w:val="16"/>
              </w:rPr>
            </w:pPr>
          </w:p>
          <w:p w:rsidR="003B4761" w:rsidRDefault="003B4761">
            <w:pPr>
              <w:pStyle w:val="Heading2"/>
              <w:jc w:val="both"/>
              <w:rPr>
                <w:sz w:val="16"/>
              </w:rPr>
            </w:pPr>
            <w:r>
              <w:rPr>
                <w:sz w:val="16"/>
              </w:rPr>
              <w:t>WHAT IS COVERED BY THESE REGULATIONS</w:t>
            </w:r>
          </w:p>
          <w:p w:rsidR="003B4761" w:rsidRDefault="003B4761">
            <w:pPr>
              <w:jc w:val="both"/>
              <w:rPr>
                <w:b/>
                <w:sz w:val="16"/>
              </w:rPr>
            </w:pPr>
          </w:p>
          <w:p w:rsidR="003B4761" w:rsidRDefault="003B4761">
            <w:pPr>
              <w:pStyle w:val="BodyText"/>
              <w:numPr>
                <w:ilvl w:val="0"/>
                <w:numId w:val="2"/>
              </w:numPr>
              <w:jc w:val="both"/>
              <w:rPr>
                <w:sz w:val="16"/>
              </w:rPr>
            </w:pPr>
            <w:r>
              <w:rPr>
                <w:sz w:val="16"/>
              </w:rPr>
              <w:t>Limits on exposure to radiation and radioactive material in restricted and unrestricted areas;</w:t>
            </w:r>
          </w:p>
          <w:p w:rsidR="003B4761" w:rsidRDefault="003B4761">
            <w:pPr>
              <w:numPr>
                <w:ilvl w:val="0"/>
                <w:numId w:val="2"/>
              </w:numPr>
              <w:jc w:val="both"/>
              <w:rPr>
                <w:sz w:val="16"/>
              </w:rPr>
            </w:pPr>
            <w:r>
              <w:rPr>
                <w:sz w:val="16"/>
              </w:rPr>
              <w:t>Measures to be taken after accidental exposure;</w:t>
            </w:r>
          </w:p>
          <w:p w:rsidR="003B4761" w:rsidRDefault="003B4761">
            <w:pPr>
              <w:numPr>
                <w:ilvl w:val="0"/>
                <w:numId w:val="2"/>
              </w:numPr>
              <w:jc w:val="both"/>
              <w:rPr>
                <w:sz w:val="16"/>
              </w:rPr>
            </w:pPr>
            <w:r>
              <w:rPr>
                <w:sz w:val="16"/>
              </w:rPr>
              <w:t>Personnel monitoring, surveys and equipment;</w:t>
            </w:r>
          </w:p>
          <w:p w:rsidR="003B4761" w:rsidRDefault="003B4761">
            <w:pPr>
              <w:numPr>
                <w:ilvl w:val="0"/>
                <w:numId w:val="2"/>
              </w:numPr>
              <w:jc w:val="both"/>
              <w:rPr>
                <w:sz w:val="16"/>
              </w:rPr>
            </w:pPr>
            <w:r>
              <w:rPr>
                <w:sz w:val="16"/>
              </w:rPr>
              <w:t>Caution signs, labels and safety interlock equipment;</w:t>
            </w:r>
          </w:p>
          <w:p w:rsidR="003B4761" w:rsidRDefault="003B4761">
            <w:pPr>
              <w:numPr>
                <w:ilvl w:val="0"/>
                <w:numId w:val="2"/>
              </w:numPr>
              <w:jc w:val="both"/>
              <w:rPr>
                <w:sz w:val="16"/>
              </w:rPr>
            </w:pPr>
            <w:r>
              <w:rPr>
                <w:sz w:val="16"/>
              </w:rPr>
              <w:t>Exposure records and reports;</w:t>
            </w:r>
          </w:p>
          <w:p w:rsidR="003B4761" w:rsidRDefault="003B4761">
            <w:pPr>
              <w:numPr>
                <w:ilvl w:val="0"/>
                <w:numId w:val="2"/>
              </w:numPr>
              <w:jc w:val="both"/>
              <w:rPr>
                <w:sz w:val="16"/>
              </w:rPr>
            </w:pPr>
            <w:r>
              <w:rPr>
                <w:sz w:val="16"/>
              </w:rPr>
              <w:t>Options for workers regarding Department inspections; and</w:t>
            </w:r>
          </w:p>
          <w:p w:rsidR="003B4761" w:rsidRDefault="003B4761">
            <w:pPr>
              <w:pStyle w:val="Heading2"/>
              <w:jc w:val="both"/>
              <w:rPr>
                <w:b w:val="0"/>
                <w:bCs/>
                <w:sz w:val="16"/>
              </w:rPr>
            </w:pPr>
            <w:r>
              <w:rPr>
                <w:b w:val="0"/>
                <w:bCs/>
                <w:sz w:val="16"/>
              </w:rPr>
              <w:t>7.               Related matters.</w:t>
            </w:r>
          </w:p>
        </w:tc>
        <w:tc>
          <w:tcPr>
            <w:tcW w:w="182" w:type="pct"/>
          </w:tcPr>
          <w:p w:rsidR="003B4761" w:rsidRDefault="003B4761">
            <w:pPr>
              <w:jc w:val="both"/>
              <w:rPr>
                <w:b/>
                <w:sz w:val="16"/>
              </w:rPr>
            </w:pPr>
          </w:p>
          <w:p w:rsidR="003B4761" w:rsidRDefault="003B4761"/>
        </w:tc>
        <w:tc>
          <w:tcPr>
            <w:tcW w:w="2410" w:type="pct"/>
            <w:gridSpan w:val="3"/>
          </w:tcPr>
          <w:p w:rsidR="003B4761" w:rsidRDefault="003B4761">
            <w:pPr>
              <w:pStyle w:val="Heading3"/>
              <w:jc w:val="both"/>
              <w:rPr>
                <w:color w:val="000000"/>
                <w:sz w:val="16"/>
              </w:rPr>
            </w:pPr>
            <w:r>
              <w:rPr>
                <w:color w:val="000000"/>
                <w:sz w:val="16"/>
              </w:rPr>
              <w:t>REPORTS ON YOUR RADIATION EXPOSURE HISTORY</w:t>
            </w:r>
          </w:p>
          <w:p w:rsidR="003B4761" w:rsidRDefault="003B4761">
            <w:pPr>
              <w:jc w:val="both"/>
              <w:rPr>
                <w:b/>
                <w:color w:val="000000"/>
                <w:sz w:val="16"/>
              </w:rPr>
            </w:pPr>
          </w:p>
          <w:p w:rsidR="003B4761" w:rsidRDefault="003B4761">
            <w:pPr>
              <w:pStyle w:val="BodyText2"/>
              <w:numPr>
                <w:ilvl w:val="0"/>
                <w:numId w:val="3"/>
              </w:numPr>
              <w:jc w:val="both"/>
              <w:rPr>
                <w:color w:val="000000"/>
                <w:sz w:val="16"/>
              </w:rPr>
            </w:pPr>
            <w:r>
              <w:rPr>
                <w:color w:val="000000"/>
                <w:sz w:val="16"/>
              </w:rPr>
              <w:t>LAC 33:XV (Louisiana Radiation Regulations) require that your employer give you a written report if you receive a radiation dose in excess of any applicable limit as set forth in the regulations or in the license or registration certificate.  The basic limits for radiation dose to employees are set forth in Chapter 4 of the regulations.  This chapter specifies limits on radiation dose and exposure to concentrations of radioactive material in air and water.</w:t>
            </w:r>
          </w:p>
          <w:p w:rsidR="003B4761" w:rsidRDefault="003B4761">
            <w:pPr>
              <w:numPr>
                <w:ilvl w:val="0"/>
                <w:numId w:val="3"/>
              </w:numPr>
              <w:jc w:val="both"/>
              <w:rPr>
                <w:color w:val="000000"/>
                <w:sz w:val="16"/>
              </w:rPr>
            </w:pPr>
            <w:r>
              <w:rPr>
                <w:color w:val="000000"/>
                <w:sz w:val="16"/>
              </w:rPr>
              <w:t>If you work where personnel monitoring is required, and if you request information on your radiation doses,</w:t>
            </w:r>
          </w:p>
          <w:p w:rsidR="003B4761" w:rsidRDefault="003B4761">
            <w:pPr>
              <w:jc w:val="both"/>
              <w:rPr>
                <w:color w:val="000000"/>
                <w:sz w:val="16"/>
              </w:rPr>
            </w:pPr>
          </w:p>
          <w:p w:rsidR="003B4761" w:rsidRDefault="003B4761">
            <w:pPr>
              <w:ind w:left="1080" w:hanging="360"/>
              <w:jc w:val="both"/>
              <w:rPr>
                <w:color w:val="000000"/>
                <w:sz w:val="16"/>
              </w:rPr>
            </w:pPr>
            <w:r>
              <w:rPr>
                <w:color w:val="000000"/>
                <w:sz w:val="16"/>
              </w:rPr>
              <w:t>(a)</w:t>
            </w:r>
            <w:r>
              <w:rPr>
                <w:color w:val="000000"/>
                <w:sz w:val="16"/>
              </w:rPr>
              <w:tab/>
              <w:t>Upon termination of your employment, your employer must give you a written report of your radiation doses, and</w:t>
            </w:r>
          </w:p>
          <w:p w:rsidR="003B4761" w:rsidRDefault="003B4761">
            <w:pPr>
              <w:numPr>
                <w:ilvl w:val="0"/>
                <w:numId w:val="4"/>
              </w:numPr>
              <w:jc w:val="both"/>
              <w:rPr>
                <w:color w:val="000000"/>
                <w:sz w:val="16"/>
              </w:rPr>
            </w:pPr>
            <w:r>
              <w:rPr>
                <w:color w:val="000000"/>
                <w:sz w:val="16"/>
              </w:rPr>
              <w:t>Your employer must advise you annually of your dose from radiation.</w:t>
            </w:r>
          </w:p>
          <w:p w:rsidR="003B4761" w:rsidRDefault="003B4761">
            <w:pPr>
              <w:jc w:val="both"/>
              <w:rPr>
                <w:color w:val="000000"/>
                <w:sz w:val="16"/>
              </w:rPr>
            </w:pPr>
          </w:p>
          <w:p w:rsidR="003B4761" w:rsidRDefault="003B4761">
            <w:pPr>
              <w:pStyle w:val="Heading3"/>
              <w:jc w:val="both"/>
              <w:rPr>
                <w:color w:val="000000"/>
                <w:sz w:val="16"/>
              </w:rPr>
            </w:pPr>
            <w:r>
              <w:rPr>
                <w:color w:val="000000"/>
                <w:sz w:val="16"/>
              </w:rPr>
              <w:t>INSPECTIONS</w:t>
            </w:r>
          </w:p>
          <w:p w:rsidR="003B4761" w:rsidRDefault="003B4761">
            <w:pPr>
              <w:jc w:val="both"/>
              <w:rPr>
                <w:color w:val="000000"/>
                <w:sz w:val="16"/>
              </w:rPr>
            </w:pPr>
          </w:p>
          <w:p w:rsidR="003B4761" w:rsidRDefault="003B4761">
            <w:pPr>
              <w:jc w:val="both"/>
              <w:rPr>
                <w:color w:val="000000"/>
                <w:sz w:val="16"/>
              </w:rPr>
            </w:pPr>
            <w:r>
              <w:rPr>
                <w:color w:val="000000"/>
                <w:sz w:val="16"/>
              </w:rPr>
              <w:t>All licensed or registered activities are subject to inspection by representatives of the Department.  In addition, any worker or representative of workers who believes that there is a violation of the Louisiana Nuclear Energy and Radiation Control Law, the regulations issued thereunder, or the terms of the employer’s license or registration certificate with regard to radiological working conditions in which the worker is engaged, may request an inspection by sending a notice of the alleged violation(s) to the Department.  The request must set forth the specific grounds for the notice and must be signed by the worker or a representative of the worker.  During inspections, Department inspectors may confer privately with workers, and any worker may bring to the attention of the inspectors any past or present condition which he believes contributed to or caused any violation as described above.</w:t>
            </w:r>
          </w:p>
          <w:p w:rsidR="003B4761" w:rsidRDefault="003B4761">
            <w:pPr>
              <w:jc w:val="right"/>
            </w:pPr>
          </w:p>
        </w:tc>
      </w:tr>
      <w:tr w:rsidR="003B4761" w:rsidTr="00DD7F06">
        <w:tc>
          <w:tcPr>
            <w:tcW w:w="5000" w:type="pct"/>
            <w:gridSpan w:val="7"/>
          </w:tcPr>
          <w:p w:rsidR="003B4761" w:rsidRDefault="003B4761" w:rsidP="001163F1">
            <w:pPr>
              <w:pStyle w:val="Heading4"/>
              <w:spacing w:line="160" w:lineRule="atLeast"/>
            </w:pPr>
            <w:r>
              <w:t>INQUIRIES</w:t>
            </w:r>
          </w:p>
          <w:p w:rsidR="003B4761" w:rsidRDefault="003B4761">
            <w:pPr>
              <w:jc w:val="center"/>
              <w:rPr>
                <w:sz w:val="16"/>
              </w:rPr>
            </w:pPr>
            <w:r>
              <w:rPr>
                <w:sz w:val="16"/>
              </w:rPr>
              <w:t>Inquiries dealing with the matters outlined above can be directed to:</w:t>
            </w:r>
          </w:p>
          <w:p w:rsidR="003B4761" w:rsidRDefault="003B4761">
            <w:pPr>
              <w:jc w:val="center"/>
              <w:rPr>
                <w:sz w:val="16"/>
              </w:rPr>
            </w:pPr>
          </w:p>
        </w:tc>
      </w:tr>
      <w:tr w:rsidR="003B4761" w:rsidTr="00FC681D">
        <w:tc>
          <w:tcPr>
            <w:tcW w:w="938" w:type="pct"/>
            <w:tcBorders>
              <w:right w:val="double" w:sz="4" w:space="0" w:color="auto"/>
            </w:tcBorders>
          </w:tcPr>
          <w:p w:rsidR="003B4761" w:rsidRDefault="003B4761">
            <w:pPr>
              <w:jc w:val="center"/>
            </w:pPr>
          </w:p>
        </w:tc>
        <w:tc>
          <w:tcPr>
            <w:tcW w:w="1470" w:type="pct"/>
            <w:gridSpan w:val="2"/>
            <w:tcBorders>
              <w:top w:val="double" w:sz="4" w:space="0" w:color="auto"/>
              <w:left w:val="double" w:sz="4" w:space="0" w:color="auto"/>
              <w:bottom w:val="double" w:sz="4" w:space="0" w:color="auto"/>
              <w:right w:val="double" w:sz="4" w:space="0" w:color="auto"/>
            </w:tcBorders>
          </w:tcPr>
          <w:p w:rsidR="003B4761" w:rsidRDefault="003B4761">
            <w:pPr>
              <w:pStyle w:val="Heading4"/>
              <w:rPr>
                <w:b w:val="0"/>
                <w:caps/>
              </w:rPr>
            </w:pPr>
          </w:p>
          <w:p w:rsidR="00FC681D" w:rsidRDefault="00FC681D">
            <w:pPr>
              <w:jc w:val="center"/>
              <w:rPr>
                <w:caps/>
                <w:sz w:val="16"/>
                <w:szCs w:val="20"/>
              </w:rPr>
            </w:pPr>
            <w:r w:rsidRPr="00FC681D">
              <w:rPr>
                <w:caps/>
                <w:sz w:val="16"/>
                <w:szCs w:val="20"/>
              </w:rPr>
              <w:t>EMERGENCY &amp; RADIOLOGICAL SERVICES DIVISION</w:t>
            </w:r>
          </w:p>
          <w:p w:rsidR="00F82B5F" w:rsidRDefault="00F82B5F">
            <w:pPr>
              <w:jc w:val="center"/>
              <w:rPr>
                <w:caps/>
                <w:sz w:val="16"/>
                <w:szCs w:val="20"/>
              </w:rPr>
            </w:pPr>
            <w:r>
              <w:rPr>
                <w:caps/>
                <w:sz w:val="16"/>
                <w:szCs w:val="20"/>
              </w:rPr>
              <w:t xml:space="preserve">RADIATION Section </w:t>
            </w:r>
          </w:p>
          <w:p w:rsidR="003B4761" w:rsidRDefault="003B4761">
            <w:pPr>
              <w:jc w:val="center"/>
              <w:rPr>
                <w:caps/>
                <w:sz w:val="16"/>
              </w:rPr>
            </w:pPr>
            <w:r>
              <w:rPr>
                <w:caps/>
                <w:sz w:val="16"/>
              </w:rPr>
              <w:t xml:space="preserve">P.o. </w:t>
            </w:r>
            <w:smartTag w:uri="urn:schemas-microsoft-com:office:smarttags" w:element="address">
              <w:smartTag w:uri="urn:schemas-microsoft-com:office:smarttags" w:element="Street">
                <w:r>
                  <w:rPr>
                    <w:caps/>
                    <w:sz w:val="16"/>
                  </w:rPr>
                  <w:t>Box</w:t>
                </w:r>
              </w:smartTag>
              <w:r w:rsidR="00C609A6">
                <w:rPr>
                  <w:caps/>
                  <w:sz w:val="16"/>
                </w:rPr>
                <w:t xml:space="preserve"> 4312</w:t>
              </w:r>
            </w:smartTag>
          </w:p>
          <w:p w:rsidR="003B4761" w:rsidRDefault="003B4761">
            <w:pPr>
              <w:jc w:val="center"/>
              <w:rPr>
                <w:caps/>
                <w:sz w:val="16"/>
              </w:rPr>
            </w:pPr>
            <w:r>
              <w:rPr>
                <w:caps/>
                <w:sz w:val="16"/>
              </w:rPr>
              <w:t xml:space="preserve">Baton </w:t>
            </w:r>
            <w:smartTag w:uri="urn:schemas-microsoft-com:office:smarttags" w:element="place">
              <w:smartTag w:uri="urn:schemas-microsoft-com:office:smarttags" w:element="City">
                <w:r>
                  <w:rPr>
                    <w:caps/>
                    <w:sz w:val="16"/>
                  </w:rPr>
                  <w:t>Rouge</w:t>
                </w:r>
              </w:smartTag>
              <w:r>
                <w:rPr>
                  <w:caps/>
                  <w:sz w:val="16"/>
                </w:rPr>
                <w:t xml:space="preserve">, </w:t>
              </w:r>
              <w:smartTag w:uri="urn:schemas-microsoft-com:office:smarttags" w:element="State">
                <w:r>
                  <w:rPr>
                    <w:caps/>
                    <w:sz w:val="16"/>
                  </w:rPr>
                  <w:t>Louisiana</w:t>
                </w:r>
              </w:smartTag>
              <w:r w:rsidR="00C609A6">
                <w:rPr>
                  <w:caps/>
                  <w:sz w:val="16"/>
                </w:rPr>
                <w:t xml:space="preserve">  </w:t>
              </w:r>
              <w:smartTag w:uri="urn:schemas-microsoft-com:office:smarttags" w:element="PostalCode">
                <w:r w:rsidR="00C609A6">
                  <w:rPr>
                    <w:caps/>
                    <w:sz w:val="16"/>
                  </w:rPr>
                  <w:t>70821-4312</w:t>
                </w:r>
              </w:smartTag>
            </w:smartTag>
          </w:p>
          <w:p w:rsidR="003B4761" w:rsidRDefault="003B4761">
            <w:pPr>
              <w:jc w:val="center"/>
              <w:rPr>
                <w:caps/>
                <w:sz w:val="12"/>
              </w:rPr>
            </w:pPr>
            <w:r>
              <w:rPr>
                <w:caps/>
                <w:sz w:val="16"/>
              </w:rPr>
              <w:t>225-219-3041</w:t>
            </w:r>
          </w:p>
          <w:p w:rsidR="003B4761" w:rsidRDefault="003B4761">
            <w:pPr>
              <w:jc w:val="center"/>
              <w:rPr>
                <w:sz w:val="12"/>
              </w:rPr>
            </w:pPr>
          </w:p>
        </w:tc>
        <w:tc>
          <w:tcPr>
            <w:tcW w:w="182" w:type="pct"/>
            <w:tcBorders>
              <w:left w:val="double" w:sz="4" w:space="0" w:color="auto"/>
              <w:right w:val="double" w:sz="4" w:space="0" w:color="auto"/>
            </w:tcBorders>
          </w:tcPr>
          <w:p w:rsidR="003B4761" w:rsidRDefault="003B4761">
            <w:pPr>
              <w:jc w:val="center"/>
            </w:pPr>
          </w:p>
        </w:tc>
        <w:tc>
          <w:tcPr>
            <w:tcW w:w="1428" w:type="pct"/>
            <w:gridSpan w:val="2"/>
            <w:tcBorders>
              <w:top w:val="double" w:sz="4" w:space="0" w:color="auto"/>
              <w:left w:val="double" w:sz="4" w:space="0" w:color="auto"/>
              <w:bottom w:val="double" w:sz="4" w:space="0" w:color="auto"/>
              <w:right w:val="double" w:sz="4" w:space="0" w:color="auto"/>
            </w:tcBorders>
          </w:tcPr>
          <w:p w:rsidR="003B4761" w:rsidRDefault="003B4761">
            <w:pPr>
              <w:jc w:val="center"/>
              <w:rPr>
                <w:sz w:val="8"/>
              </w:rPr>
            </w:pPr>
          </w:p>
          <w:p w:rsidR="003B4761" w:rsidRDefault="003B4761">
            <w:pPr>
              <w:jc w:val="center"/>
              <w:rPr>
                <w:sz w:val="16"/>
              </w:rPr>
            </w:pPr>
          </w:p>
          <w:p w:rsidR="003B4761" w:rsidRDefault="003B4761">
            <w:pPr>
              <w:jc w:val="center"/>
              <w:rPr>
                <w:sz w:val="16"/>
              </w:rPr>
            </w:pPr>
            <w:r>
              <w:rPr>
                <w:sz w:val="16"/>
              </w:rPr>
              <w:t>AFTER HOURS EMERGENCY</w:t>
            </w:r>
          </w:p>
          <w:p w:rsidR="003B4761" w:rsidRDefault="003B4761">
            <w:pPr>
              <w:jc w:val="center"/>
              <w:rPr>
                <w:sz w:val="16"/>
              </w:rPr>
            </w:pPr>
            <w:r>
              <w:rPr>
                <w:sz w:val="16"/>
              </w:rPr>
              <w:t>TELEPHONE NUMBER</w:t>
            </w:r>
          </w:p>
          <w:p w:rsidR="003B4761" w:rsidRDefault="003B4761">
            <w:pPr>
              <w:jc w:val="center"/>
            </w:pPr>
            <w:r>
              <w:rPr>
                <w:sz w:val="16"/>
              </w:rPr>
              <w:t>225-765-0160</w:t>
            </w:r>
          </w:p>
        </w:tc>
        <w:tc>
          <w:tcPr>
            <w:tcW w:w="982" w:type="pct"/>
            <w:tcBorders>
              <w:left w:val="double" w:sz="4" w:space="0" w:color="auto"/>
            </w:tcBorders>
          </w:tcPr>
          <w:p w:rsidR="003B4761" w:rsidRDefault="003B4761">
            <w:pPr>
              <w:jc w:val="center"/>
            </w:pPr>
          </w:p>
        </w:tc>
      </w:tr>
      <w:tr w:rsidR="003B4761" w:rsidTr="00DD7F06">
        <w:tc>
          <w:tcPr>
            <w:tcW w:w="5000" w:type="pct"/>
            <w:gridSpan w:val="7"/>
          </w:tcPr>
          <w:p w:rsidR="003B4761" w:rsidRDefault="003B4761">
            <w:pPr>
              <w:rPr>
                <w:b/>
                <w:sz w:val="12"/>
              </w:rPr>
            </w:pPr>
          </w:p>
          <w:p w:rsidR="003B4761" w:rsidRDefault="003B4761" w:rsidP="00FC681D">
            <w:pPr>
              <w:jc w:val="both"/>
            </w:pPr>
            <w:r>
              <w:rPr>
                <w:b/>
                <w:sz w:val="18"/>
              </w:rPr>
              <w:t>Copies of this notice must be posted in a sufficient number of places in every establishment where employees are employed in activities licensed or registered by the Department, pursuant to Chapters 2 and 3 of LAC 33:XV (Louisiana Radiation Regulations), to permit employees working in or frequenting any portion of a restricted area to observe a copy on the way to or from their place of employment.</w:t>
            </w:r>
            <w:r>
              <w:rPr>
                <w:sz w:val="12"/>
              </w:rPr>
              <w:t xml:space="preserve"> </w:t>
            </w:r>
            <w:r>
              <w:rPr>
                <w:sz w:val="12"/>
              </w:rPr>
              <w:tab/>
              <w:t xml:space="preserve">                                    </w:t>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t xml:space="preserve">                                                                                                 </w:t>
            </w:r>
            <w:r w:rsidR="00FC681D">
              <w:rPr>
                <w:sz w:val="12"/>
              </w:rPr>
              <w:t xml:space="preserve">                                                         </w:t>
            </w:r>
            <w:r w:rsidR="00C609A6">
              <w:rPr>
                <w:sz w:val="12"/>
              </w:rPr>
              <w:t xml:space="preserve">DRC-3 (Rev. </w:t>
            </w:r>
            <w:r w:rsidR="00FC681D">
              <w:rPr>
                <w:sz w:val="12"/>
              </w:rPr>
              <w:t>12/25)</w:t>
            </w:r>
          </w:p>
        </w:tc>
      </w:tr>
    </w:tbl>
    <w:p w:rsidR="003B4761" w:rsidRDefault="003B4761">
      <w:pPr>
        <w:jc w:val="center"/>
      </w:pPr>
    </w:p>
    <w:sectPr w:rsidR="003B4761" w:rsidSect="00DD7F06">
      <w:pgSz w:w="15840" w:h="12240" w:orient="landscape" w:code="1"/>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5F3B"/>
    <w:multiLevelType w:val="singleLevel"/>
    <w:tmpl w:val="707E34EC"/>
    <w:lvl w:ilvl="0">
      <w:start w:val="1"/>
      <w:numFmt w:val="decimal"/>
      <w:lvlText w:val="%1."/>
      <w:lvlJc w:val="left"/>
      <w:pPr>
        <w:tabs>
          <w:tab w:val="num" w:pos="720"/>
        </w:tabs>
        <w:ind w:left="720" w:hanging="720"/>
      </w:pPr>
      <w:rPr>
        <w:rFonts w:hint="default"/>
      </w:rPr>
    </w:lvl>
  </w:abstractNum>
  <w:abstractNum w:abstractNumId="1" w15:restartNumberingAfterBreak="0">
    <w:nsid w:val="4D0A447F"/>
    <w:multiLevelType w:val="singleLevel"/>
    <w:tmpl w:val="865C15D0"/>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 w15:restartNumberingAfterBreak="0">
    <w:nsid w:val="5F5A3F39"/>
    <w:multiLevelType w:val="singleLevel"/>
    <w:tmpl w:val="5BCAC1EC"/>
    <w:lvl w:ilvl="0">
      <w:start w:val="1"/>
      <w:numFmt w:val="decimal"/>
      <w:lvlText w:val="%1."/>
      <w:lvlJc w:val="left"/>
      <w:pPr>
        <w:tabs>
          <w:tab w:val="num" w:pos="720"/>
        </w:tabs>
        <w:ind w:left="720" w:hanging="720"/>
      </w:pPr>
      <w:rPr>
        <w:rFonts w:hint="default"/>
      </w:rPr>
    </w:lvl>
  </w:abstractNum>
  <w:abstractNum w:abstractNumId="3" w15:restartNumberingAfterBreak="0">
    <w:nsid w:val="68B70521"/>
    <w:multiLevelType w:val="singleLevel"/>
    <w:tmpl w:val="000E9836"/>
    <w:lvl w:ilvl="0">
      <w:start w:val="2"/>
      <w:numFmt w:val="lowerLetter"/>
      <w:lvlText w:val="(%1)"/>
      <w:lvlJc w:val="left"/>
      <w:pPr>
        <w:tabs>
          <w:tab w:val="num" w:pos="1080"/>
        </w:tabs>
        <w:ind w:left="1080"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3B"/>
    <w:rsid w:val="001163F1"/>
    <w:rsid w:val="003B4761"/>
    <w:rsid w:val="003F7C74"/>
    <w:rsid w:val="006A04D4"/>
    <w:rsid w:val="00A6203B"/>
    <w:rsid w:val="00A924EC"/>
    <w:rsid w:val="00C609A6"/>
    <w:rsid w:val="00DD7F06"/>
    <w:rsid w:val="00F31FC0"/>
    <w:rsid w:val="00F82B5F"/>
    <w:rsid w:val="00FB7B9F"/>
    <w:rsid w:val="00FC681D"/>
    <w:rsid w:val="00FD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C45CB9B0-A746-42D7-A02B-49B19BB8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man Old Style" w:hAnsi="Bookman Old Style"/>
      <w:b/>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qFormat/>
    <w:pPr>
      <w:keepNext/>
      <w:outlineLvl w:val="2"/>
    </w:pPr>
    <w:rPr>
      <w:b/>
      <w:sz w:val="18"/>
      <w:szCs w:val="20"/>
    </w:rPr>
  </w:style>
  <w:style w:type="paragraph" w:styleId="Heading4">
    <w:name w:val="heading 4"/>
    <w:basedOn w:val="Normal"/>
    <w:next w:val="Normal"/>
    <w:qFormat/>
    <w:pPr>
      <w:keepNext/>
      <w:jc w:val="center"/>
      <w:outlineLvl w:val="3"/>
    </w:pPr>
    <w:rPr>
      <w:b/>
      <w:sz w:val="16"/>
      <w:szCs w:val="20"/>
    </w:rPr>
  </w:style>
  <w:style w:type="paragraph" w:styleId="Heading5">
    <w:name w:val="heading 5"/>
    <w:basedOn w:val="Normal"/>
    <w:next w:val="Normal"/>
    <w:qFormat/>
    <w:pPr>
      <w:keepNext/>
      <w:jc w:val="center"/>
      <w:outlineLvl w:val="4"/>
    </w:pPr>
    <w:rPr>
      <w:rFonts w:ascii="Bookman Old Style" w:hAnsi="Bookman Old Style"/>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2">
    <w:name w:val="Body Text 2"/>
    <w:basedOn w:val="Normal"/>
    <w:rPr>
      <w:sz w:val="18"/>
      <w:szCs w:val="20"/>
    </w:rPr>
  </w:style>
  <w:style w:type="character" w:customStyle="1" w:styleId="EmailStyle17">
    <w:name w:val="EmailStyle17"/>
    <w:basedOn w:val="DefaultParagraphFont"/>
    <w:semiHidden/>
    <w:rsid w:val="00A6203B"/>
    <w:rPr>
      <w:rFonts w:ascii="Arial" w:hAnsi="Arial" w:cs="Arial"/>
      <w:color w:val="auto"/>
      <w:sz w:val="20"/>
      <w:szCs w:val="20"/>
    </w:rPr>
  </w:style>
  <w:style w:type="paragraph" w:styleId="ListParagraph">
    <w:name w:val="List Paragraph"/>
    <w:basedOn w:val="Normal"/>
    <w:uiPriority w:val="34"/>
    <w:qFormat/>
    <w:rsid w:val="00F82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3856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LDEQ</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Danna Lynn Lee</dc:creator>
  <cp:keywords/>
  <dc:description/>
  <cp:lastModifiedBy>Tiffany White</cp:lastModifiedBy>
  <cp:revision>2</cp:revision>
  <cp:lastPrinted>2003-09-24T18:25:00Z</cp:lastPrinted>
  <dcterms:created xsi:type="dcterms:W3CDTF">2026-01-16T16:15:00Z</dcterms:created>
  <dcterms:modified xsi:type="dcterms:W3CDTF">2026-01-16T16:15:00Z</dcterms:modified>
</cp:coreProperties>
</file>