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5DED2" w14:textId="77777777" w:rsidR="004F2575" w:rsidRPr="004F2575" w:rsidRDefault="004F2575" w:rsidP="004F2575">
      <w:pPr>
        <w:jc w:val="center"/>
        <w:rPr>
          <w:rFonts w:ascii="Times New Roman" w:eastAsia="Times New Roman" w:hAnsi="Times New Roman" w:cs="Times New Roman"/>
          <w:b/>
        </w:rPr>
      </w:pPr>
      <w:r w:rsidRPr="004F2575">
        <w:rPr>
          <w:rFonts w:ascii="Times New Roman" w:eastAsia="Times New Roman" w:hAnsi="Times New Roman" w:cs="Times New Roman"/>
          <w:b/>
        </w:rPr>
        <w:t>Title 33</w:t>
      </w:r>
    </w:p>
    <w:p w14:paraId="1C31FEF3" w14:textId="77777777" w:rsidR="004F2575" w:rsidRPr="004F2575" w:rsidRDefault="004F2575" w:rsidP="004F2575">
      <w:pPr>
        <w:jc w:val="center"/>
        <w:rPr>
          <w:rFonts w:ascii="Times New Roman" w:eastAsia="Times New Roman" w:hAnsi="Times New Roman" w:cs="Times New Roman"/>
          <w:b/>
        </w:rPr>
      </w:pPr>
      <w:r w:rsidRPr="004F2575">
        <w:rPr>
          <w:rFonts w:ascii="Times New Roman" w:eastAsia="Times New Roman" w:hAnsi="Times New Roman" w:cs="Times New Roman"/>
          <w:b/>
        </w:rPr>
        <w:t>ENVIRONMENTAL QUALITY</w:t>
      </w:r>
    </w:p>
    <w:p w14:paraId="450E6FE4" w14:textId="77777777" w:rsidR="004F2575" w:rsidRPr="004F2575" w:rsidRDefault="004F2575" w:rsidP="004F2575">
      <w:pPr>
        <w:jc w:val="center"/>
        <w:rPr>
          <w:rFonts w:ascii="Times New Roman" w:eastAsia="Times New Roman" w:hAnsi="Times New Roman" w:cs="Times New Roman"/>
          <w:b/>
        </w:rPr>
      </w:pPr>
      <w:r w:rsidRPr="004F2575">
        <w:rPr>
          <w:rFonts w:ascii="Times New Roman" w:eastAsia="Times New Roman" w:hAnsi="Times New Roman" w:cs="Times New Roman"/>
          <w:b/>
        </w:rPr>
        <w:t>Part V.  Hazardous Waste and Hazardous Materials</w:t>
      </w:r>
    </w:p>
    <w:p w14:paraId="55E75FD5" w14:textId="77777777" w:rsidR="004F2575" w:rsidRPr="004F2575" w:rsidRDefault="004F2575" w:rsidP="004F2575">
      <w:pPr>
        <w:jc w:val="center"/>
        <w:rPr>
          <w:rFonts w:ascii="Times New Roman" w:eastAsia="Times New Roman" w:hAnsi="Times New Roman" w:cs="Times New Roman"/>
          <w:b/>
        </w:rPr>
      </w:pPr>
    </w:p>
    <w:p w14:paraId="28545EB3" w14:textId="77777777" w:rsidR="004F2575" w:rsidRPr="004F2575" w:rsidRDefault="004F2575" w:rsidP="004F2575">
      <w:pPr>
        <w:jc w:val="center"/>
        <w:rPr>
          <w:rFonts w:ascii="Times New Roman" w:eastAsia="Times New Roman" w:hAnsi="Times New Roman" w:cs="Times New Roman"/>
          <w:b/>
        </w:rPr>
      </w:pPr>
      <w:r w:rsidRPr="004F2575">
        <w:rPr>
          <w:rFonts w:ascii="Times New Roman" w:eastAsia="Times New Roman" w:hAnsi="Times New Roman" w:cs="Times New Roman"/>
          <w:b/>
        </w:rPr>
        <w:t>Subpart 1.  Department of Environmental Quality—Hazardous Waste</w:t>
      </w:r>
    </w:p>
    <w:p w14:paraId="47C1B738" w14:textId="77777777" w:rsidR="004F2575" w:rsidRPr="004F2575" w:rsidRDefault="004F2575" w:rsidP="004F2575">
      <w:pPr>
        <w:jc w:val="center"/>
        <w:rPr>
          <w:rFonts w:ascii="Times New Roman" w:eastAsia="Times New Roman" w:hAnsi="Times New Roman" w:cs="Times New Roman"/>
        </w:rPr>
      </w:pPr>
    </w:p>
    <w:p w14:paraId="6D9EB00A" w14:textId="77777777" w:rsidR="004F2575" w:rsidRPr="004F2575" w:rsidRDefault="004F2575" w:rsidP="004F2575">
      <w:pPr>
        <w:jc w:val="both"/>
        <w:rPr>
          <w:rFonts w:ascii="Times New Roman" w:eastAsia="Times New Roman" w:hAnsi="Times New Roman" w:cs="Times New Roman"/>
          <w:b/>
          <w:kern w:val="2"/>
        </w:rPr>
      </w:pPr>
      <w:bookmarkStart w:id="0" w:name="TOC_Chap1132"/>
      <w:r w:rsidRPr="004F2575">
        <w:rPr>
          <w:rFonts w:ascii="Times New Roman" w:eastAsia="Times New Roman" w:hAnsi="Times New Roman" w:cs="Times New Roman"/>
          <w:b/>
          <w:kern w:val="2"/>
        </w:rPr>
        <w:t>Chapter 49.</w:t>
      </w:r>
      <w:bookmarkEnd w:id="0"/>
      <w:r w:rsidRPr="004F2575">
        <w:rPr>
          <w:rFonts w:ascii="Times New Roman" w:eastAsia="Times New Roman" w:hAnsi="Times New Roman" w:cs="Times New Roman"/>
          <w:b/>
          <w:kern w:val="2"/>
        </w:rPr>
        <w:t xml:space="preserve">  </w:t>
      </w:r>
      <w:bookmarkStart w:id="1" w:name="TOCT_Chap1132"/>
      <w:r w:rsidRPr="004F2575">
        <w:rPr>
          <w:rFonts w:ascii="Times New Roman" w:eastAsia="Times New Roman" w:hAnsi="Times New Roman" w:cs="Times New Roman"/>
          <w:b/>
          <w:kern w:val="2"/>
        </w:rPr>
        <w:t>Lists of Hazardous Wastes</w:t>
      </w:r>
      <w:bookmarkEnd w:id="1"/>
    </w:p>
    <w:p w14:paraId="7BD46185" w14:textId="77777777" w:rsidR="004F2575" w:rsidRPr="004F2575" w:rsidRDefault="004F2575" w:rsidP="004F2575">
      <w:pPr>
        <w:rPr>
          <w:rFonts w:ascii="Times New Roman" w:eastAsia="Times New Roman" w:hAnsi="Times New Roman" w:cs="Times New Roman"/>
          <w:kern w:val="2"/>
        </w:rPr>
      </w:pPr>
    </w:p>
    <w:p w14:paraId="1DAE2F1E" w14:textId="77777777" w:rsidR="004F2575" w:rsidRPr="004F2575" w:rsidRDefault="004F2575" w:rsidP="004F2575">
      <w:pPr>
        <w:rPr>
          <w:rFonts w:ascii="Times New Roman" w:eastAsia="Times New Roman" w:hAnsi="Times New Roman" w:cs="Times New Roman"/>
          <w:kern w:val="2"/>
        </w:rPr>
      </w:pPr>
      <w:r w:rsidRPr="004F2575">
        <w:rPr>
          <w:rFonts w:ascii="Times New Roman" w:eastAsia="Times New Roman" w:hAnsi="Times New Roman" w:cs="Times New Roman"/>
          <w:kern w:val="2"/>
        </w:rPr>
        <w:t>[Editor</w:t>
      </w:r>
      <w:r w:rsidRPr="004F2575">
        <w:rPr>
          <w:rFonts w:ascii="Times New Roman" w:eastAsia="Times New Roman" w:hAnsi="Times New Roman" w:cs="Times New Roman" w:hint="eastAsia"/>
          <w:kern w:val="2"/>
        </w:rPr>
        <w:t>’</w:t>
      </w:r>
      <w:r w:rsidRPr="004F2575">
        <w:rPr>
          <w:rFonts w:ascii="Times New Roman" w:eastAsia="Times New Roman" w:hAnsi="Times New Roman" w:cs="Times New Roman"/>
          <w:kern w:val="2"/>
        </w:rPr>
        <w:t>s Note: Chapter 49 is divided into two Sections: category I hazardous wastes, which consist of hazardous wastes from nonspecific and specific sources (F and K wastes), acute hazardous wastes (P wastes), and toxic wastes (U wastes) (LAC 33:V.4901); and category II hazardous wastes, which consist of wastes that are ignitable, corrosive, reactive, or toxic (LAC 33:V.4903).]</w:t>
      </w:r>
    </w:p>
    <w:p w14:paraId="3E5258DB" w14:textId="77777777" w:rsidR="004F2575" w:rsidRPr="004F2575" w:rsidRDefault="004F2575" w:rsidP="004F2575">
      <w:pPr>
        <w:jc w:val="both"/>
        <w:rPr>
          <w:rFonts w:ascii="Times New Roman" w:eastAsia="Times New Roman" w:hAnsi="Times New Roman" w:cs="Times New Roman"/>
          <w:b/>
          <w:kern w:val="2"/>
        </w:rPr>
      </w:pPr>
    </w:p>
    <w:p w14:paraId="7827A3EB" w14:textId="77777777" w:rsidR="004F2575" w:rsidRPr="004F2575" w:rsidRDefault="004F2575" w:rsidP="004F2575">
      <w:pPr>
        <w:jc w:val="both"/>
        <w:rPr>
          <w:rFonts w:ascii="Times New Roman" w:eastAsia="Times New Roman" w:hAnsi="Times New Roman" w:cs="Times New Roman"/>
          <w:b/>
          <w:kern w:val="2"/>
        </w:rPr>
      </w:pPr>
      <w:bookmarkStart w:id="2" w:name="TOC_Sect1854"/>
      <w:r w:rsidRPr="004F2575">
        <w:rPr>
          <w:rFonts w:ascii="Times New Roman" w:eastAsia="Times New Roman" w:hAnsi="Times New Roman" w:cs="Times New Roman"/>
          <w:b/>
          <w:kern w:val="2"/>
        </w:rPr>
        <w:t>§4999.</w:t>
      </w:r>
      <w:r w:rsidRPr="004F2575">
        <w:rPr>
          <w:rFonts w:ascii="Times New Roman" w:eastAsia="Times New Roman" w:hAnsi="Times New Roman" w:cs="Times New Roman"/>
          <w:b/>
          <w:kern w:val="2"/>
        </w:rPr>
        <w:tab/>
        <w:t xml:space="preserve">Appendices—Appendix A, B, C, D, and </w:t>
      </w:r>
      <w:bookmarkEnd w:id="2"/>
      <w:r w:rsidRPr="004F2575">
        <w:rPr>
          <w:rFonts w:ascii="Times New Roman" w:eastAsia="Times New Roman" w:hAnsi="Times New Roman" w:cs="Times New Roman"/>
          <w:b/>
          <w:kern w:val="2"/>
        </w:rPr>
        <w:t>E</w:t>
      </w:r>
    </w:p>
    <w:p w14:paraId="23C870D3" w14:textId="77777777" w:rsidR="004F2575" w:rsidRPr="004F2575" w:rsidRDefault="004F2575" w:rsidP="004F2575">
      <w:pPr>
        <w:jc w:val="both"/>
        <w:rPr>
          <w:rFonts w:ascii="Times New Roman" w:eastAsia="Times New Roman" w:hAnsi="Times New Roman" w:cs="Times New Roman"/>
          <w:b/>
          <w:kern w:val="2"/>
        </w:rPr>
      </w:pPr>
    </w:p>
    <w:p w14:paraId="5B9D0B45" w14:textId="77777777" w:rsidR="004F2575" w:rsidRPr="004F2575" w:rsidRDefault="004F2575" w:rsidP="004F2575">
      <w:pPr>
        <w:tabs>
          <w:tab w:val="left" w:pos="3960"/>
        </w:tabs>
        <w:spacing w:line="480" w:lineRule="auto"/>
        <w:ind w:firstLine="720"/>
        <w:rPr>
          <w:rFonts w:ascii="Times New Roman" w:eastAsia="Times New Roman" w:hAnsi="Times New Roman" w:cs="Times New Roman"/>
          <w:bCs/>
        </w:rPr>
      </w:pPr>
      <w:r w:rsidRPr="004F2575">
        <w:rPr>
          <w:rFonts w:ascii="Times New Roman" w:eastAsia="Times New Roman" w:hAnsi="Times New Roman" w:cs="Times New Roman"/>
          <w:bCs/>
        </w:rPr>
        <w:t xml:space="preserve">Appendix A. </w:t>
      </w:r>
      <w:r w:rsidRPr="004F2575">
        <w:rPr>
          <w:rFonts w:ascii="Calibri" w:eastAsia="Times New Roman" w:hAnsi="Calibri" w:cs="Times New Roman"/>
          <w:bCs/>
        </w:rPr>
        <w:t>—</w:t>
      </w:r>
      <w:r w:rsidRPr="004F2575">
        <w:rPr>
          <w:rFonts w:ascii="Times New Roman" w:eastAsia="Times New Roman" w:hAnsi="Times New Roman" w:cs="Times New Roman"/>
          <w:bCs/>
        </w:rPr>
        <w:t xml:space="preserve"> Appendix D.</w:t>
      </w:r>
      <w:r w:rsidRPr="004F2575">
        <w:rPr>
          <w:rFonts w:ascii="Times New Roman" w:eastAsia="Times New Roman" w:hAnsi="Times New Roman" w:cs="Times New Roman"/>
          <w:bCs/>
        </w:rPr>
        <w:tab/>
        <w:t>…</w:t>
      </w:r>
    </w:p>
    <w:p w14:paraId="32C62DE2" w14:textId="77777777" w:rsidR="004F2575" w:rsidRPr="004F2575" w:rsidRDefault="004F2575" w:rsidP="004F2575">
      <w:pPr>
        <w:tabs>
          <w:tab w:val="left" w:pos="720"/>
        </w:tabs>
        <w:spacing w:after="200" w:line="480" w:lineRule="auto"/>
        <w:jc w:val="center"/>
        <w:rPr>
          <w:rFonts w:ascii="Calibri" w:eastAsia="Times New Roman" w:hAnsi="Calibri" w:cs="Times New Roman"/>
          <w:bCs/>
          <w:sz w:val="22"/>
        </w:rPr>
      </w:pPr>
      <w:r w:rsidRPr="004F2575">
        <w:rPr>
          <w:rFonts w:ascii="Calibri" w:eastAsia="Times New Roman" w:hAnsi="Calibri" w:cs="Times New Roman"/>
          <w:bCs/>
          <w:sz w:val="22"/>
        </w:rPr>
        <w:t>* * *</w:t>
      </w:r>
    </w:p>
    <w:p w14:paraId="77DB0C71" w14:textId="77777777" w:rsidR="004F2575" w:rsidRPr="004F2575" w:rsidRDefault="004F2575" w:rsidP="004F2575">
      <w:pPr>
        <w:ind w:firstLine="720"/>
        <w:jc w:val="both"/>
        <w:rPr>
          <w:rFonts w:ascii="Times New Roman" w:eastAsia="Times New Roman" w:hAnsi="Times New Roman" w:cs="Times New Roman"/>
          <w:kern w:val="2"/>
        </w:rPr>
      </w:pPr>
      <w:r w:rsidRPr="004F2575">
        <w:rPr>
          <w:rFonts w:ascii="Times New Roman" w:eastAsia="Times New Roman" w:hAnsi="Times New Roman" w:cs="Times New Roman"/>
          <w:kern w:val="2"/>
        </w:rPr>
        <w:t>Appendix E.  Wastes Excluded under LAC 33:V.105.M</w:t>
      </w:r>
    </w:p>
    <w:p w14:paraId="297946FC" w14:textId="77777777" w:rsidR="004F2575" w:rsidRPr="004F2575" w:rsidRDefault="004F2575" w:rsidP="004F2575">
      <w:pPr>
        <w:jc w:val="center"/>
        <w:rPr>
          <w:rFonts w:ascii="Times New Roman" w:eastAsia="Times New Roman" w:hAnsi="Times New Roman" w:cs="Times New Roman"/>
          <w:b/>
          <w:kern w:val="2"/>
        </w:rPr>
      </w:pPr>
    </w:p>
    <w:p w14:paraId="2CA4F5CF" w14:textId="77777777" w:rsidR="004F2575" w:rsidRPr="004F2575" w:rsidRDefault="004F2575" w:rsidP="004F2575">
      <w:pPr>
        <w:rPr>
          <w:rFonts w:ascii="Times New Roman" w:eastAsia="Times New Roman" w:hAnsi="Times New Roman" w:cs="Times New Roman"/>
          <w:kern w:val="2"/>
        </w:rPr>
      </w:pPr>
      <w:r w:rsidRPr="004F2575">
        <w:rPr>
          <w:rFonts w:ascii="Times New Roman" w:eastAsia="Times New Roman" w:hAnsi="Times New Roman" w:cs="Times New Roman"/>
          <w:b/>
          <w:kern w:val="2"/>
        </w:rPr>
        <w:tab/>
      </w:r>
      <w:r w:rsidRPr="004F2575">
        <w:rPr>
          <w:rFonts w:ascii="Times New Roman" w:eastAsia="Times New Roman" w:hAnsi="Times New Roman" w:cs="Times New Roman"/>
          <w:kern w:val="2"/>
        </w:rPr>
        <w:t xml:space="preserve">A.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B.3.b.</w:t>
      </w:r>
      <w:r w:rsidRPr="004F2575">
        <w:rPr>
          <w:rFonts w:ascii="Times New Roman" w:eastAsia="Times New Roman" w:hAnsi="Times New Roman" w:cs="Times New Roman"/>
          <w:kern w:val="2"/>
        </w:rPr>
        <w:tab/>
        <w:t>…</w:t>
      </w:r>
    </w:p>
    <w:p w14:paraId="4F76CBE2" w14:textId="77777777" w:rsidR="004F2575" w:rsidRPr="004F2575" w:rsidRDefault="004F2575" w:rsidP="004F2575">
      <w:pPr>
        <w:rPr>
          <w:rFonts w:ascii="Times New Roman" w:eastAsia="Times New Roman" w:hAnsi="Times New Roman" w:cs="Times New Roman"/>
          <w:kern w:val="2"/>
        </w:rPr>
      </w:pPr>
    </w:p>
    <w:tbl>
      <w:tblPr>
        <w:tblW w:w="6945"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45"/>
      </w:tblGrid>
      <w:tr w:rsidR="004F2575" w:rsidRPr="004F2575" w14:paraId="770A9222" w14:textId="77777777" w:rsidTr="00F1226A">
        <w:trPr>
          <w:cantSplit/>
          <w:trHeight w:val="420"/>
          <w:tblHeader/>
          <w:jc w:val="center"/>
        </w:trPr>
        <w:tc>
          <w:tcPr>
            <w:tcW w:w="6945" w:type="dxa"/>
            <w:shd w:val="clear" w:color="auto" w:fill="auto"/>
            <w:vAlign w:val="center"/>
          </w:tcPr>
          <w:p w14:paraId="1B787419" w14:textId="77777777" w:rsidR="004F2575" w:rsidRPr="004F2575" w:rsidRDefault="004F2575" w:rsidP="004F2575">
            <w:pPr>
              <w:widowControl w:val="0"/>
              <w:tabs>
                <w:tab w:val="left" w:pos="748"/>
                <w:tab w:val="left" w:pos="1496"/>
                <w:tab w:val="left" w:pos="2244"/>
                <w:tab w:val="left" w:pos="2992"/>
                <w:tab w:val="left" w:pos="3553"/>
                <w:tab w:val="left" w:pos="4301"/>
              </w:tabs>
              <w:spacing w:line="480" w:lineRule="auto"/>
              <w:ind w:right="14"/>
              <w:jc w:val="center"/>
              <w:rPr>
                <w:rFonts w:ascii="Times New Roman" w:eastAsia="Times New Roman" w:hAnsi="Times New Roman" w:cs="Times New Roman"/>
                <w:kern w:val="2"/>
              </w:rPr>
            </w:pPr>
            <w:r w:rsidRPr="004F2575">
              <w:rPr>
                <w:rFonts w:ascii="Times New Roman" w:eastAsia="Times New Roman" w:hAnsi="Times New Roman" w:cs="Times New Roman"/>
                <w:kern w:val="2"/>
              </w:rPr>
              <w:t xml:space="preserve">Table 1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Wastes Excluded</w:t>
            </w:r>
          </w:p>
        </w:tc>
      </w:tr>
      <w:tr w:rsidR="004F2575" w:rsidRPr="004F2575" w14:paraId="53C2EEAD" w14:textId="77777777" w:rsidTr="00F1226A">
        <w:trPr>
          <w:trHeight w:val="721"/>
          <w:tblHeader/>
          <w:jc w:val="center"/>
        </w:trPr>
        <w:tc>
          <w:tcPr>
            <w:tcW w:w="6945" w:type="dxa"/>
            <w:shd w:val="clear" w:color="auto" w:fill="auto"/>
          </w:tcPr>
          <w:p w14:paraId="6B952540" w14:textId="77777777" w:rsidR="004F2575" w:rsidRPr="004F2575" w:rsidRDefault="004F2575" w:rsidP="004F2575">
            <w:pPr>
              <w:widowControl w:val="0"/>
              <w:spacing w:line="480" w:lineRule="auto"/>
              <w:jc w:val="center"/>
              <w:rPr>
                <w:rFonts w:ascii="Times New Roman" w:eastAsia="Times New Roman" w:hAnsi="Times New Roman" w:cs="Times New Roman"/>
                <w:kern w:val="2"/>
              </w:rPr>
            </w:pPr>
            <w:r w:rsidRPr="004F2575">
              <w:rPr>
                <w:rFonts w:ascii="Times New Roman" w:eastAsia="Times New Roman" w:hAnsi="Times New Roman" w:cs="Times New Roman"/>
              </w:rPr>
              <w:t>BFI Waste Systems of Louisiana LLC, Colonial Landfill, Sorrento, LA</w:t>
            </w:r>
          </w:p>
        </w:tc>
      </w:tr>
      <w:tr w:rsidR="004F2575" w:rsidRPr="004F2575" w14:paraId="7B24696E" w14:textId="77777777" w:rsidTr="00F1226A">
        <w:trPr>
          <w:trHeight w:val="413"/>
          <w:jc w:val="center"/>
        </w:trPr>
        <w:tc>
          <w:tcPr>
            <w:tcW w:w="6945" w:type="dxa"/>
          </w:tcPr>
          <w:p w14:paraId="784B485F" w14:textId="77777777" w:rsidR="004F2575" w:rsidRPr="004F2575" w:rsidRDefault="004F2575" w:rsidP="004F2575">
            <w:pPr>
              <w:widowControl w:val="0"/>
              <w:spacing w:line="480" w:lineRule="auto"/>
              <w:jc w:val="center"/>
              <w:rPr>
                <w:rFonts w:ascii="Times New Roman" w:eastAsia="Times New Roman" w:hAnsi="Times New Roman" w:cs="Times New Roman"/>
                <w:kern w:val="2"/>
              </w:rPr>
            </w:pPr>
            <w:r w:rsidRPr="004F2575">
              <w:rPr>
                <w:rFonts w:ascii="Times New Roman" w:eastAsia="Times New Roman" w:hAnsi="Times New Roman" w:cs="Times New Roman"/>
                <w:kern w:val="2"/>
              </w:rPr>
              <w:t>* * *</w:t>
            </w:r>
          </w:p>
        </w:tc>
      </w:tr>
    </w:tbl>
    <w:p w14:paraId="3EEDAA28" w14:textId="77777777" w:rsidR="004F2575" w:rsidRPr="004F2575" w:rsidRDefault="004F2575" w:rsidP="004F2575">
      <w:pPr>
        <w:jc w:val="both"/>
        <w:rPr>
          <w:rFonts w:ascii="Times New Roman" w:eastAsia="Times New Roman" w:hAnsi="Times New Roman" w:cs="Times New Roman"/>
          <w:kern w:val="2"/>
        </w:rPr>
      </w:pPr>
    </w:p>
    <w:p w14:paraId="3EA58A7C" w14:textId="77777777" w:rsidR="004F2575" w:rsidRPr="004F2575" w:rsidRDefault="004F2575" w:rsidP="004F2575">
      <w:pPr>
        <w:jc w:val="both"/>
        <w:rPr>
          <w:rFonts w:ascii="Times New Roman" w:eastAsia="Times New Roman" w:hAnsi="Times New Roman" w:cs="Times New Roman"/>
          <w:b/>
        </w:rPr>
      </w:pPr>
    </w:p>
    <w:tbl>
      <w:tblPr>
        <w:tblW w:w="6935"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35"/>
      </w:tblGrid>
      <w:tr w:rsidR="004F2575" w:rsidRPr="004F2575" w14:paraId="7E6433A4" w14:textId="77777777" w:rsidTr="00F1226A">
        <w:trPr>
          <w:cantSplit/>
          <w:trHeight w:val="197"/>
          <w:tblHeader/>
          <w:jc w:val="center"/>
        </w:trPr>
        <w:tc>
          <w:tcPr>
            <w:tcW w:w="6935" w:type="dxa"/>
            <w:shd w:val="clear" w:color="auto" w:fill="auto"/>
            <w:vAlign w:val="center"/>
          </w:tcPr>
          <w:p w14:paraId="6FBE9B99" w14:textId="77777777" w:rsidR="004F2575" w:rsidRPr="004F2575" w:rsidRDefault="004F2575" w:rsidP="004F2575">
            <w:pPr>
              <w:widowControl w:val="0"/>
              <w:tabs>
                <w:tab w:val="left" w:pos="748"/>
                <w:tab w:val="left" w:pos="1496"/>
                <w:tab w:val="left" w:pos="2244"/>
                <w:tab w:val="left" w:pos="2992"/>
                <w:tab w:val="left" w:pos="3553"/>
                <w:tab w:val="left" w:pos="4301"/>
              </w:tabs>
              <w:spacing w:line="480" w:lineRule="auto"/>
              <w:ind w:right="14"/>
              <w:jc w:val="center"/>
              <w:rPr>
                <w:rFonts w:ascii="Times New Roman" w:eastAsia="Times New Roman" w:hAnsi="Times New Roman" w:cs="Times New Roman"/>
                <w:kern w:val="2"/>
              </w:rPr>
            </w:pPr>
            <w:r w:rsidRPr="004F2575">
              <w:rPr>
                <w:rFonts w:ascii="Times New Roman" w:eastAsia="Times New Roman" w:hAnsi="Times New Roman" w:cs="Times New Roman"/>
                <w:kern w:val="2"/>
              </w:rPr>
              <w:t xml:space="preserve">Table 1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Wastes Excluded</w:t>
            </w:r>
          </w:p>
        </w:tc>
      </w:tr>
      <w:tr w:rsidR="004F2575" w:rsidRPr="004F2575" w14:paraId="4CD414F9" w14:textId="77777777" w:rsidTr="00F1226A">
        <w:trPr>
          <w:cantSplit/>
          <w:trHeight w:val="170"/>
          <w:tblHeader/>
          <w:jc w:val="center"/>
          <w:hidden/>
        </w:trPr>
        <w:tc>
          <w:tcPr>
            <w:tcW w:w="6935" w:type="dxa"/>
            <w:shd w:val="clear" w:color="auto" w:fill="auto"/>
          </w:tcPr>
          <w:p w14:paraId="651E0C8B" w14:textId="77777777" w:rsidR="004F2575" w:rsidRPr="004F2575" w:rsidRDefault="004F2575" w:rsidP="004F2575">
            <w:pPr>
              <w:widowControl w:val="0"/>
              <w:tabs>
                <w:tab w:val="left" w:pos="748"/>
                <w:tab w:val="left" w:pos="1496"/>
                <w:tab w:val="left" w:pos="2244"/>
                <w:tab w:val="left" w:pos="2992"/>
                <w:tab w:val="left" w:pos="3553"/>
                <w:tab w:val="left" w:pos="4301"/>
              </w:tabs>
              <w:spacing w:line="480" w:lineRule="auto"/>
              <w:ind w:right="14"/>
              <w:jc w:val="center"/>
              <w:outlineLvl w:val="0"/>
              <w:rPr>
                <w:rFonts w:ascii="Times New Roman" w:eastAsia="Times New Roman" w:hAnsi="Times New Roman" w:cs="Times New Roman"/>
                <w:bCs/>
              </w:rPr>
            </w:pPr>
            <w:r w:rsidRPr="004F2575">
              <w:rPr>
                <w:rFonts w:ascii="Times New Roman" w:eastAsia="Times New Roman" w:hAnsi="Times New Roman" w:cs="Times New Roman"/>
                <w:vanish/>
              </w:rPr>
              <w:t xml:space="preserve">Denka Performance Elastomer LLC, LaPlace, LA </w:t>
            </w:r>
            <w:r w:rsidRPr="004F2575">
              <w:rPr>
                <w:rFonts w:ascii="Times New Roman" w:eastAsia="Times New Roman" w:hAnsi="Times New Roman" w:cs="Times New Roman"/>
              </w:rPr>
              <w:t>Denka Performance Elastomer LLC, LaPlace, LA</w:t>
            </w:r>
            <w:r w:rsidRPr="004F2575">
              <w:rPr>
                <w:rFonts w:ascii="Times New Roman" w:eastAsia="Times New Roman" w:hAnsi="Times New Roman" w:cs="Times New Roman"/>
                <w:vanish/>
              </w:rPr>
              <w:t>Denka Performance Elastomer LLC, LaPlace, LA Denka Performance Elastomer LLC, LaPlace, LA Denka Performance Elastomer LLC, LaPlace, LA</w:t>
            </w:r>
          </w:p>
        </w:tc>
      </w:tr>
      <w:tr w:rsidR="004F2575" w:rsidRPr="004F2575" w14:paraId="432AE4DF" w14:textId="77777777" w:rsidTr="00F1226A">
        <w:trPr>
          <w:jc w:val="center"/>
        </w:trPr>
        <w:tc>
          <w:tcPr>
            <w:tcW w:w="6935" w:type="dxa"/>
          </w:tcPr>
          <w:p w14:paraId="7F35848C" w14:textId="77777777" w:rsidR="004F2575" w:rsidRPr="004F2575" w:rsidRDefault="004F2575" w:rsidP="004F2575">
            <w:pPr>
              <w:widowControl w:val="0"/>
              <w:spacing w:line="480" w:lineRule="auto"/>
              <w:jc w:val="center"/>
              <w:rPr>
                <w:rFonts w:ascii="Times New Roman" w:eastAsia="Times New Roman" w:hAnsi="Times New Roman" w:cs="Times New Roman"/>
              </w:rPr>
            </w:pPr>
            <w:r w:rsidRPr="004F2575">
              <w:rPr>
                <w:rFonts w:ascii="Times New Roman" w:eastAsia="Times New Roman" w:hAnsi="Times New Roman" w:cs="Times New Roman"/>
              </w:rPr>
              <w:t>* * *</w:t>
            </w:r>
          </w:p>
        </w:tc>
      </w:tr>
    </w:tbl>
    <w:p w14:paraId="5F9B1C25" w14:textId="77777777" w:rsidR="004F2575" w:rsidRPr="004F2575" w:rsidRDefault="004F2575" w:rsidP="004F2575">
      <w:pPr>
        <w:jc w:val="both"/>
        <w:rPr>
          <w:rFonts w:ascii="Times New Roman" w:eastAsia="Times New Roman" w:hAnsi="Times New Roman" w:cs="Times New Roman"/>
          <w:b/>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7020"/>
      </w:tblGrid>
      <w:tr w:rsidR="004F2575" w:rsidRPr="004F2575" w14:paraId="28B4353B" w14:textId="77777777" w:rsidTr="00F1226A">
        <w:trPr>
          <w:tblHeader/>
          <w:jc w:val="center"/>
        </w:trPr>
        <w:tc>
          <w:tcPr>
            <w:tcW w:w="7020" w:type="dxa"/>
            <w:shd w:val="clear" w:color="auto" w:fill="auto"/>
          </w:tcPr>
          <w:p w14:paraId="5C93AF2D"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lastRenderedPageBreak/>
              <w:t>Table 1 – Wastes Excluded</w:t>
            </w:r>
          </w:p>
        </w:tc>
      </w:tr>
      <w:tr w:rsidR="004F2575" w:rsidRPr="004F2575" w14:paraId="30D852E9" w14:textId="77777777" w:rsidTr="00F1226A">
        <w:trPr>
          <w:tblHeader/>
          <w:jc w:val="center"/>
        </w:trPr>
        <w:tc>
          <w:tcPr>
            <w:tcW w:w="7020" w:type="dxa"/>
            <w:shd w:val="clear" w:color="auto" w:fill="auto"/>
          </w:tcPr>
          <w:p w14:paraId="246AD0C8"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rPr>
              <w:t>Lyondell Chemical Company, Lake Charles, LA</w:t>
            </w:r>
          </w:p>
        </w:tc>
      </w:tr>
      <w:tr w:rsidR="004F2575" w:rsidRPr="004F2575" w14:paraId="4EFC9C55" w14:textId="77777777" w:rsidTr="00F1226A">
        <w:trPr>
          <w:jc w:val="center"/>
        </w:trPr>
        <w:tc>
          <w:tcPr>
            <w:tcW w:w="7020" w:type="dxa"/>
            <w:shd w:val="clear" w:color="auto" w:fill="auto"/>
          </w:tcPr>
          <w:p w14:paraId="75F18EB5" w14:textId="77777777" w:rsidR="004F2575" w:rsidRPr="004F2575" w:rsidRDefault="004F2575" w:rsidP="004F2575">
            <w:pPr>
              <w:widowControl w:val="0"/>
              <w:spacing w:line="480" w:lineRule="auto"/>
              <w:jc w:val="center"/>
              <w:rPr>
                <w:rFonts w:ascii="Times New Roman" w:eastAsia="Times New Roman" w:hAnsi="Times New Roman" w:cs="Times New Roman"/>
              </w:rPr>
            </w:pPr>
            <w:r w:rsidRPr="004F2575">
              <w:rPr>
                <w:rFonts w:ascii="Times New Roman" w:eastAsia="Times New Roman" w:hAnsi="Times New Roman" w:cs="Times New Roman"/>
              </w:rPr>
              <w:t>* * *</w:t>
            </w:r>
          </w:p>
        </w:tc>
      </w:tr>
    </w:tbl>
    <w:p w14:paraId="4C0635FB" w14:textId="77777777" w:rsidR="004F2575" w:rsidRPr="004F2575" w:rsidRDefault="004F2575" w:rsidP="004F2575">
      <w:pPr>
        <w:spacing w:line="480" w:lineRule="auto"/>
        <w:jc w:val="both"/>
        <w:rPr>
          <w:rFonts w:ascii="Times New Roman" w:eastAsia="Times New Roman" w:hAnsi="Times New Roman" w:cs="Times New Roman"/>
          <w:b/>
        </w:rPr>
      </w:pPr>
    </w:p>
    <w:tbl>
      <w:tblPr>
        <w:tblW w:w="6999"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99"/>
      </w:tblGrid>
      <w:tr w:rsidR="004F2575" w:rsidRPr="004F2575" w14:paraId="4A8675EE" w14:textId="77777777" w:rsidTr="00F1226A">
        <w:trPr>
          <w:cantSplit/>
          <w:trHeight w:val="170"/>
          <w:tblHeader/>
          <w:jc w:val="center"/>
        </w:trPr>
        <w:tc>
          <w:tcPr>
            <w:tcW w:w="6999" w:type="dxa"/>
            <w:shd w:val="clear" w:color="auto" w:fill="auto"/>
            <w:vAlign w:val="center"/>
          </w:tcPr>
          <w:p w14:paraId="2551B481" w14:textId="77777777" w:rsidR="004F2575" w:rsidRPr="004F2575" w:rsidRDefault="004F2575" w:rsidP="004F2575">
            <w:pPr>
              <w:widowControl w:val="0"/>
              <w:tabs>
                <w:tab w:val="left" w:pos="748"/>
                <w:tab w:val="left" w:pos="1496"/>
                <w:tab w:val="left" w:pos="2244"/>
                <w:tab w:val="left" w:pos="2992"/>
                <w:tab w:val="left" w:pos="3553"/>
                <w:tab w:val="left" w:pos="4301"/>
              </w:tabs>
              <w:spacing w:line="480" w:lineRule="auto"/>
              <w:ind w:right="14"/>
              <w:jc w:val="center"/>
              <w:rPr>
                <w:rFonts w:ascii="Times New Roman" w:eastAsia="Times New Roman" w:hAnsi="Times New Roman" w:cs="Times New Roman"/>
                <w:kern w:val="2"/>
              </w:rPr>
            </w:pPr>
            <w:r w:rsidRPr="004F2575">
              <w:rPr>
                <w:rFonts w:ascii="Times New Roman" w:eastAsia="Times New Roman" w:hAnsi="Times New Roman" w:cs="Times New Roman"/>
                <w:kern w:val="2"/>
              </w:rPr>
              <w:t xml:space="preserve">Table 1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Wastes Excluded</w:t>
            </w:r>
          </w:p>
        </w:tc>
      </w:tr>
      <w:tr w:rsidR="004F2575" w:rsidRPr="004F2575" w14:paraId="4279CA30" w14:textId="77777777" w:rsidTr="00F1226A">
        <w:trPr>
          <w:trHeight w:val="152"/>
          <w:tblHeader/>
          <w:jc w:val="center"/>
        </w:trPr>
        <w:tc>
          <w:tcPr>
            <w:tcW w:w="6999" w:type="dxa"/>
            <w:shd w:val="clear" w:color="auto" w:fill="auto"/>
          </w:tcPr>
          <w:p w14:paraId="236706BA" w14:textId="77777777" w:rsidR="004F2575" w:rsidRPr="004F2575" w:rsidRDefault="004F2575" w:rsidP="004F2575">
            <w:pPr>
              <w:widowControl w:val="0"/>
              <w:tabs>
                <w:tab w:val="left" w:pos="143"/>
                <w:tab w:val="left" w:pos="323"/>
                <w:tab w:val="left" w:pos="683"/>
                <w:tab w:val="left" w:pos="2843"/>
                <w:tab w:val="left" w:pos="3563"/>
                <w:tab w:val="left" w:pos="4283"/>
                <w:tab w:val="left" w:pos="5003"/>
              </w:tabs>
              <w:spacing w:line="480" w:lineRule="auto"/>
              <w:jc w:val="center"/>
              <w:rPr>
                <w:rFonts w:ascii="Times New Roman" w:eastAsia="Times New Roman" w:hAnsi="Times New Roman" w:cs="Times New Roman"/>
                <w:bCs/>
              </w:rPr>
            </w:pPr>
            <w:r w:rsidRPr="004F2575">
              <w:rPr>
                <w:rFonts w:ascii="Times New Roman" w:eastAsia="Times New Roman" w:hAnsi="Times New Roman" w:cs="Times New Roman"/>
                <w:bCs/>
              </w:rPr>
              <w:t>Marathon Oil Co., Garyville, LA</w:t>
            </w:r>
          </w:p>
        </w:tc>
      </w:tr>
      <w:tr w:rsidR="004F2575" w:rsidRPr="004F2575" w14:paraId="3C7571F5" w14:textId="77777777" w:rsidTr="00F1226A">
        <w:trPr>
          <w:jc w:val="center"/>
        </w:trPr>
        <w:tc>
          <w:tcPr>
            <w:tcW w:w="6999" w:type="dxa"/>
          </w:tcPr>
          <w:p w14:paraId="554E6B41" w14:textId="77777777" w:rsidR="004F2575" w:rsidRPr="004F2575" w:rsidRDefault="004F2575" w:rsidP="004F2575">
            <w:pPr>
              <w:widowControl w:val="0"/>
              <w:spacing w:line="480" w:lineRule="auto"/>
              <w:jc w:val="center"/>
              <w:rPr>
                <w:rFonts w:ascii="Times New Roman" w:eastAsia="Times New Roman" w:hAnsi="Times New Roman" w:cs="Times New Roman"/>
              </w:rPr>
            </w:pPr>
            <w:r w:rsidRPr="004F2575">
              <w:rPr>
                <w:rFonts w:ascii="Times New Roman" w:eastAsia="Times New Roman" w:hAnsi="Times New Roman" w:cs="Times New Roman"/>
              </w:rPr>
              <w:t>* * *</w:t>
            </w:r>
          </w:p>
        </w:tc>
      </w:tr>
    </w:tbl>
    <w:p w14:paraId="00A19994" w14:textId="77777777" w:rsidR="004F2575" w:rsidRPr="004F2575" w:rsidRDefault="004F2575" w:rsidP="004F2575">
      <w:pPr>
        <w:spacing w:line="480" w:lineRule="auto"/>
        <w:rPr>
          <w:rFonts w:ascii="Times New Roman" w:eastAsia="Times New Roman" w:hAnsi="Times New Roman" w:cs="Times New Roman"/>
        </w:rPr>
      </w:pPr>
    </w:p>
    <w:tbl>
      <w:tblPr>
        <w:tblW w:w="701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7018"/>
      </w:tblGrid>
      <w:tr w:rsidR="004F2575" w:rsidRPr="004F2575" w14:paraId="14BC5FB4" w14:textId="77777777" w:rsidTr="00F1226A">
        <w:trPr>
          <w:cantSplit/>
          <w:trHeight w:val="143"/>
          <w:tblHeader/>
          <w:jc w:val="center"/>
        </w:trPr>
        <w:tc>
          <w:tcPr>
            <w:tcW w:w="7018" w:type="dxa"/>
            <w:shd w:val="clear" w:color="auto" w:fill="auto"/>
            <w:vAlign w:val="center"/>
          </w:tcPr>
          <w:p w14:paraId="528D6083" w14:textId="77777777" w:rsidR="004F2575" w:rsidRPr="004F2575" w:rsidRDefault="004F2575" w:rsidP="004F2575">
            <w:pPr>
              <w:widowControl w:val="0"/>
              <w:tabs>
                <w:tab w:val="left" w:pos="748"/>
                <w:tab w:val="left" w:pos="1496"/>
                <w:tab w:val="left" w:pos="2244"/>
                <w:tab w:val="left" w:pos="2992"/>
                <w:tab w:val="left" w:pos="3553"/>
                <w:tab w:val="left" w:pos="4301"/>
              </w:tabs>
              <w:spacing w:line="480" w:lineRule="auto"/>
              <w:ind w:right="14"/>
              <w:jc w:val="center"/>
              <w:rPr>
                <w:rFonts w:ascii="Times New Roman" w:eastAsia="Times New Roman" w:hAnsi="Times New Roman" w:cs="Times New Roman"/>
                <w:kern w:val="2"/>
              </w:rPr>
            </w:pPr>
            <w:r w:rsidRPr="004F2575">
              <w:rPr>
                <w:rFonts w:ascii="Times New Roman" w:eastAsia="Times New Roman" w:hAnsi="Times New Roman" w:cs="Times New Roman"/>
                <w:kern w:val="2"/>
              </w:rPr>
              <w:t xml:space="preserve">Table 1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Wastes Excluded</w:t>
            </w:r>
          </w:p>
        </w:tc>
      </w:tr>
      <w:tr w:rsidR="004F2575" w:rsidRPr="004F2575" w14:paraId="19AFEC3A" w14:textId="77777777" w:rsidTr="00F1226A">
        <w:trPr>
          <w:trHeight w:val="143"/>
          <w:tblHeader/>
          <w:jc w:val="center"/>
        </w:trPr>
        <w:tc>
          <w:tcPr>
            <w:tcW w:w="7018" w:type="dxa"/>
            <w:shd w:val="clear" w:color="auto" w:fill="auto"/>
          </w:tcPr>
          <w:p w14:paraId="19B040BA"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rPr>
              <w:t>Motiva Enterprises LLC, Norco, LA</w:t>
            </w:r>
          </w:p>
        </w:tc>
      </w:tr>
      <w:tr w:rsidR="004F2575" w:rsidRPr="004F2575" w14:paraId="3E10188F" w14:textId="77777777" w:rsidTr="00F1226A">
        <w:trPr>
          <w:jc w:val="center"/>
        </w:trPr>
        <w:tc>
          <w:tcPr>
            <w:tcW w:w="7018" w:type="dxa"/>
          </w:tcPr>
          <w:p w14:paraId="0D061995" w14:textId="77777777" w:rsidR="004F2575" w:rsidRPr="004F2575" w:rsidRDefault="004F2575" w:rsidP="004F2575">
            <w:pPr>
              <w:widowControl w:val="0"/>
              <w:spacing w:line="480" w:lineRule="auto"/>
              <w:jc w:val="center"/>
              <w:rPr>
                <w:rFonts w:ascii="Times New Roman" w:eastAsia="Times New Roman" w:hAnsi="Times New Roman" w:cs="Times New Roman"/>
                <w:kern w:val="2"/>
              </w:rPr>
            </w:pPr>
            <w:r w:rsidRPr="004F2575">
              <w:rPr>
                <w:rFonts w:ascii="Times New Roman" w:eastAsia="Times New Roman" w:hAnsi="Times New Roman" w:cs="Times New Roman"/>
                <w:kern w:val="2"/>
              </w:rPr>
              <w:t>* * *</w:t>
            </w:r>
          </w:p>
        </w:tc>
      </w:tr>
    </w:tbl>
    <w:p w14:paraId="0A8AFEF8" w14:textId="77777777" w:rsidR="004F2575" w:rsidRPr="004F2575" w:rsidRDefault="004F2575" w:rsidP="004F2575">
      <w:pPr>
        <w:spacing w:line="480" w:lineRule="auto"/>
        <w:rPr>
          <w:rFonts w:ascii="Times New Roman" w:eastAsia="Times New Roman" w:hAnsi="Times New Roman" w:cs="Times New Roman"/>
        </w:rPr>
      </w:pPr>
    </w:p>
    <w:tbl>
      <w:tblPr>
        <w:tblW w:w="0" w:type="auto"/>
        <w:tblInd w:w="127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shd w:val="clear" w:color="auto" w:fill="E0E0E0"/>
        <w:tblLook w:val="01E0" w:firstRow="1" w:lastRow="1" w:firstColumn="1" w:lastColumn="1" w:noHBand="0" w:noVBand="0"/>
      </w:tblPr>
      <w:tblGrid>
        <w:gridCol w:w="7020"/>
      </w:tblGrid>
      <w:tr w:rsidR="004F2575" w:rsidRPr="004F2575" w14:paraId="487EF7AE" w14:textId="77777777" w:rsidTr="00F1226A">
        <w:trPr>
          <w:tblHeader/>
        </w:trPr>
        <w:tc>
          <w:tcPr>
            <w:tcW w:w="7020" w:type="dxa"/>
            <w:shd w:val="clear" w:color="auto" w:fill="auto"/>
          </w:tcPr>
          <w:p w14:paraId="11641B7B" w14:textId="77777777" w:rsidR="004F2575" w:rsidRPr="004F2575" w:rsidRDefault="004F2575" w:rsidP="004F2575">
            <w:pPr>
              <w:widowControl w:val="0"/>
              <w:spacing w:line="480" w:lineRule="auto"/>
              <w:ind w:left="-648"/>
              <w:jc w:val="center"/>
              <w:rPr>
                <w:rFonts w:ascii="Times New Roman" w:eastAsia="Times New Roman" w:hAnsi="Times New Roman" w:cs="Times New Roman"/>
                <w:bCs/>
                <w:kern w:val="2"/>
              </w:rPr>
            </w:pPr>
            <w:r w:rsidRPr="004F2575">
              <w:rPr>
                <w:rFonts w:ascii="Times New Roman" w:eastAsia="Times New Roman" w:hAnsi="Times New Roman" w:cs="Times New Roman"/>
                <w:kern w:val="2"/>
              </w:rPr>
              <w:t xml:space="preserve">Table 1 </w:t>
            </w:r>
            <w:r w:rsidRPr="004F2575">
              <w:rPr>
                <w:rFonts w:ascii="Times New Roman" w:eastAsia="Times New Roman" w:hAnsi="Times New Roman" w:cs="Times New Roman"/>
                <w:bCs/>
                <w:kern w:val="2"/>
              </w:rPr>
              <w:t>–</w:t>
            </w:r>
            <w:r w:rsidRPr="004F2575">
              <w:rPr>
                <w:rFonts w:ascii="Times New Roman" w:eastAsia="Times New Roman" w:hAnsi="Times New Roman" w:cs="Times New Roman"/>
                <w:kern w:val="2"/>
              </w:rPr>
              <w:t xml:space="preserve"> Wastes Excluded</w:t>
            </w:r>
          </w:p>
        </w:tc>
      </w:tr>
      <w:tr w:rsidR="004F2575" w:rsidRPr="004F2575" w14:paraId="2E10278E" w14:textId="77777777" w:rsidTr="00F1226A">
        <w:trPr>
          <w:tblHeader/>
        </w:trPr>
        <w:tc>
          <w:tcPr>
            <w:tcW w:w="7020" w:type="dxa"/>
            <w:shd w:val="clear" w:color="auto" w:fill="auto"/>
          </w:tcPr>
          <w:p w14:paraId="49F09851"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Syngenta Crop Protection, Inc., St. Gabriel, LA</w:t>
            </w:r>
          </w:p>
        </w:tc>
      </w:tr>
      <w:tr w:rsidR="004F2575" w:rsidRPr="004F2575" w14:paraId="3547E146" w14:textId="77777777" w:rsidTr="00F1226A">
        <w:tc>
          <w:tcPr>
            <w:tcW w:w="7020" w:type="dxa"/>
          </w:tcPr>
          <w:p w14:paraId="3CCA3B0B"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 * *</w:t>
            </w:r>
          </w:p>
        </w:tc>
      </w:tr>
    </w:tbl>
    <w:p w14:paraId="219A10D3" w14:textId="77777777" w:rsidR="004F2575" w:rsidRPr="004F2575" w:rsidRDefault="004F2575" w:rsidP="004F2575">
      <w:pPr>
        <w:spacing w:line="480" w:lineRule="auto"/>
        <w:rPr>
          <w:rFonts w:ascii="Times New Roman" w:eastAsia="Times New Roman" w:hAnsi="Times New Roman" w:cs="Times New Roman"/>
        </w:rPr>
      </w:pPr>
    </w:p>
    <w:tbl>
      <w:tblPr>
        <w:tblW w:w="6935"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35"/>
      </w:tblGrid>
      <w:tr w:rsidR="004F2575" w:rsidRPr="004F2575" w14:paraId="20996115" w14:textId="77777777" w:rsidTr="004F2575">
        <w:trPr>
          <w:cantSplit/>
          <w:trHeight w:val="197"/>
          <w:tblHeader/>
          <w:jc w:val="center"/>
        </w:trPr>
        <w:tc>
          <w:tcPr>
            <w:tcW w:w="6935" w:type="dxa"/>
            <w:shd w:val="clear" w:color="auto" w:fill="FFFFFF"/>
            <w:vAlign w:val="center"/>
          </w:tcPr>
          <w:p w14:paraId="2E8432B0" w14:textId="77777777" w:rsidR="004F2575" w:rsidRPr="004F2575" w:rsidRDefault="004F2575" w:rsidP="004F2575">
            <w:pPr>
              <w:spacing w:after="60"/>
              <w:ind w:firstLine="187"/>
              <w:jc w:val="center"/>
              <w:rPr>
                <w:rFonts w:ascii="Times New Roman" w:eastAsia="Times New Roman" w:hAnsi="Times New Roman" w:cs="Times New Roman"/>
                <w:kern w:val="2"/>
                <w:u w:val="single"/>
              </w:rPr>
            </w:pPr>
            <w:r w:rsidRPr="004F2575">
              <w:rPr>
                <w:rFonts w:ascii="Times New Roman" w:eastAsia="Times New Roman" w:hAnsi="Times New Roman" w:cs="Times New Roman"/>
                <w:kern w:val="2"/>
                <w:u w:val="single"/>
              </w:rPr>
              <w:t xml:space="preserve">Table 1 </w:t>
            </w:r>
            <w:r w:rsidRPr="004F2575">
              <w:rPr>
                <w:rFonts w:ascii="Times New Roman" w:eastAsia="Times New Roman" w:hAnsi="Times New Roman" w:cs="Times New Roman"/>
                <w:bCs/>
                <w:kern w:val="2"/>
                <w:u w:val="single"/>
              </w:rPr>
              <w:t>–</w:t>
            </w:r>
            <w:r w:rsidRPr="004F2575">
              <w:rPr>
                <w:rFonts w:ascii="Times New Roman" w:eastAsia="Times New Roman" w:hAnsi="Times New Roman" w:cs="Times New Roman"/>
                <w:kern w:val="2"/>
                <w:u w:val="single"/>
              </w:rPr>
              <w:t xml:space="preserve"> Wastes Excluded</w:t>
            </w:r>
          </w:p>
        </w:tc>
      </w:tr>
      <w:tr w:rsidR="004F2575" w:rsidRPr="004F2575" w14:paraId="7F7FEB0D" w14:textId="77777777" w:rsidTr="004F2575">
        <w:trPr>
          <w:cantSplit/>
          <w:trHeight w:val="170"/>
          <w:tblHeader/>
          <w:jc w:val="center"/>
        </w:trPr>
        <w:tc>
          <w:tcPr>
            <w:tcW w:w="6935" w:type="dxa"/>
            <w:tcBorders>
              <w:bottom w:val="single" w:sz="4" w:space="0" w:color="auto"/>
            </w:tcBorders>
            <w:shd w:val="clear" w:color="auto" w:fill="FFFFFF"/>
          </w:tcPr>
          <w:p w14:paraId="372E1F9F" w14:textId="77777777" w:rsidR="004F2575" w:rsidRPr="004F2575" w:rsidRDefault="004F2575" w:rsidP="004F2575">
            <w:pPr>
              <w:spacing w:after="60"/>
              <w:ind w:firstLine="187"/>
              <w:jc w:val="center"/>
              <w:rPr>
                <w:rFonts w:ascii="Times New Roman" w:eastAsia="Times New Roman" w:hAnsi="Times New Roman" w:cs="Times New Roman"/>
                <w:bCs/>
                <w:kern w:val="2"/>
                <w:u w:val="single"/>
              </w:rPr>
            </w:pPr>
            <w:r w:rsidRPr="004F2575">
              <w:rPr>
                <w:rFonts w:ascii="Times New Roman" w:eastAsia="Times New Roman" w:hAnsi="Times New Roman" w:cs="Times New Roman"/>
                <w:bCs/>
                <w:kern w:val="2"/>
                <w:u w:val="single"/>
              </w:rPr>
              <w:t>The Dow Chemical Company, Plaquemine, LA</w:t>
            </w:r>
          </w:p>
        </w:tc>
      </w:tr>
      <w:tr w:rsidR="004F2575" w:rsidRPr="004F2575" w14:paraId="0A758BE2" w14:textId="77777777" w:rsidTr="00F1226A">
        <w:trPr>
          <w:jc w:val="center"/>
        </w:trPr>
        <w:tc>
          <w:tcPr>
            <w:tcW w:w="6935" w:type="dxa"/>
            <w:tcBorders>
              <w:top w:val="single" w:sz="4" w:space="0" w:color="auto"/>
              <w:bottom w:val="single" w:sz="4" w:space="0" w:color="auto"/>
            </w:tcBorders>
          </w:tcPr>
          <w:p w14:paraId="69695F2F"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The solvents/EDC production unit, formerly owned and operated by The Dow Chemical Company, but currently owned and operated by Blue Cube Operations LLC since October 5, 2015, generates process wastewater effluent from an air pollution control system (wet scrubbing) that treats combustion gas produced from RCRA-</w:t>
            </w:r>
            <w:r w:rsidRPr="004F2575">
              <w:rPr>
                <w:rFonts w:ascii="Times New Roman" w:eastAsia="Times New Roman" w:hAnsi="Times New Roman" w:cs="Times New Roman"/>
                <w:u w:val="single"/>
              </w:rPr>
              <w:lastRenderedPageBreak/>
              <w:t>permitted F-700 thermal treatment unit (incinerator), which combusts chlorinated organic waste feed streams carrying EPA listed hazardous waste numbers K016, K019, U044, U077, U080, U083, U210, U211, and U227. The specific hazardous waste streams combusted and their related EPA hazardous waste numbers are: Solvent Heavies (Tank D-700) – D001, D019, D022, D028, D032, D033, D034, D035, D039, and D040; EDC Heavies (Tank T-107) – D001, D018, D019, D022, D028, D032, D033, D035, D039, D040, K019, U077, and U227; Hexes (Tanks D-13/D-15) – D019, D032, D033, D034, D039, K016, U210, and U211; Chlorine Taffy (from chlorine unit) – D019, D022, D032, D033, D034, and D039; General Waste (Tank D-42) – D001, D019, D022, D028, D032, D033, D034, D039, K016, K019, U044, U077, U080, U083, U210, and U211; VRU Waste (Tank D-930) – D001, D019, D022, D028, D033, D039, U044, U077, U080, U210, and U211; Glycol Ethers/PDC (from Dow’s glycol unit) – D001, D019, D022, D028, D032, D035, and D039. The solvents/EDC process wastewater effluent is discharged through LPDES-permitted Internal Outfall 201 into the Solvents East Ditch. The Dow Chemical Company shall implement a sampling and analysis monitoring program that meets the following conditions for this hazardous waste number delisting exclusion to remain in effect.</w:t>
            </w:r>
          </w:p>
        </w:tc>
      </w:tr>
      <w:tr w:rsidR="004F2575" w:rsidRPr="004F2575" w14:paraId="109B7480" w14:textId="77777777" w:rsidTr="00F1226A">
        <w:trPr>
          <w:jc w:val="center"/>
        </w:trPr>
        <w:tc>
          <w:tcPr>
            <w:tcW w:w="6935" w:type="dxa"/>
            <w:tcBorders>
              <w:top w:val="single" w:sz="4" w:space="0" w:color="auto"/>
              <w:bottom w:val="single" w:sz="4" w:space="0" w:color="auto"/>
            </w:tcBorders>
          </w:tcPr>
          <w:p w14:paraId="5A840F9A"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(1).  Testing</w:t>
            </w:r>
          </w:p>
          <w:p w14:paraId="1757711F"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Sample collections and analyses, including quality control procedures, shall be performed according to methodologies described in </w:t>
            </w:r>
            <w:r w:rsidRPr="004F2575">
              <w:rPr>
                <w:rFonts w:ascii="Times New Roman" w:eastAsia="Times New Roman" w:hAnsi="Times New Roman" w:cs="Times New Roman"/>
                <w:i/>
                <w:u w:val="single"/>
              </w:rPr>
              <w:t>Test Methods for Evaluating Solid Waste, Physical/Chemical Methods,</w:t>
            </w:r>
            <w:r w:rsidRPr="004F2575">
              <w:rPr>
                <w:rFonts w:ascii="Times New Roman" w:eastAsia="Times New Roman" w:hAnsi="Times New Roman" w:cs="Times New Roman"/>
                <w:u w:val="single"/>
              </w:rPr>
              <w:t xml:space="preserve"> EPA Publication SW-846, as incorporated by reference in LAC 33:V.110. All samples shall be taken while the F-700 thermal treatment unit is operating between 2,000 </w:t>
            </w:r>
            <w:r w:rsidRPr="004F2575">
              <w:rPr>
                <w:rFonts w:ascii="Times New Roman" w:eastAsia="Times New Roman" w:hAnsi="Times New Roman" w:cs="Times New Roman"/>
                <w:u w:val="single"/>
              </w:rPr>
              <w:softHyphen/>
            </w:r>
            <w:r w:rsidRPr="004F2575">
              <w:rPr>
                <w:rFonts w:ascii="Times New Roman" w:eastAsia="Times New Roman" w:hAnsi="Times New Roman" w:cs="Times New Roman"/>
                <w:u w:val="single"/>
              </w:rPr>
              <w:softHyphen/>
            </w:r>
            <w:r w:rsidRPr="004F2575">
              <w:rPr>
                <w:rFonts w:ascii="Times New Roman" w:eastAsia="Times New Roman" w:hAnsi="Times New Roman" w:cs="Times New Roman"/>
                <w:u w:val="single"/>
              </w:rPr>
              <w:softHyphen/>
            </w:r>
            <w:r w:rsidRPr="004F2575">
              <w:rPr>
                <w:rFonts w:ascii="Times New Roman" w:eastAsia="Times New Roman" w:hAnsi="Times New Roman" w:cs="Times New Roman"/>
                <w:u w:val="single"/>
              </w:rPr>
              <w:softHyphen/>
              <w:t xml:space="preserve">– 4,800 lb/hr. All sampling and analytical results including quality control information shall be reported to the Office of Environmental Services, Waste Permits Division.  </w:t>
            </w:r>
          </w:p>
        </w:tc>
      </w:tr>
      <w:tr w:rsidR="004F2575" w:rsidRPr="004F2575" w14:paraId="5132983C" w14:textId="77777777" w:rsidTr="00F1226A">
        <w:trPr>
          <w:jc w:val="center"/>
        </w:trPr>
        <w:tc>
          <w:tcPr>
            <w:tcW w:w="6935" w:type="dxa"/>
            <w:tcBorders>
              <w:top w:val="single" w:sz="4" w:space="0" w:color="auto"/>
              <w:bottom w:val="single" w:sz="4" w:space="0" w:color="auto"/>
            </w:tcBorders>
          </w:tcPr>
          <w:p w14:paraId="36D11BDB" w14:textId="77777777" w:rsidR="004F2575" w:rsidRPr="004F2575" w:rsidRDefault="004F2575" w:rsidP="004F2575">
            <w:pPr>
              <w:spacing w:after="200" w:line="276" w:lineRule="auto"/>
              <w:rPr>
                <w:rFonts w:ascii="Times New Roman" w:eastAsia="Times New Roman" w:hAnsi="Times New Roman" w:cs="Times New Roman"/>
                <w:noProof/>
                <w:u w:val="single"/>
              </w:rPr>
            </w:pPr>
            <w:r w:rsidRPr="004F2575">
              <w:rPr>
                <w:rFonts w:ascii="Times New Roman" w:eastAsia="Times New Roman" w:hAnsi="Times New Roman" w:cs="Times New Roman"/>
                <w:noProof/>
                <w:u w:val="single"/>
              </w:rPr>
              <w:t>(1)(A).  Initial Organic Verification Testing of Solvents/EDC Process Wastewater Effluent</w:t>
            </w:r>
          </w:p>
          <w:p w14:paraId="0F2673BB"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noProof/>
                <w:u w:val="single"/>
              </w:rPr>
              <w:t xml:space="preserve">During the first six months after promulgation of this delisting exclusion, The Dow Chemical Company shall collect and analyze a monthly grab sample of solvents/EDC process wastewater effluent for Condition (3)(A) – (organic constituents). If the analytical results obtained during the six monthly test events are significantly below Condition (3)(A) – (delisting exclusion levels), as determined by the department in writing, then The Dow Chemical Company may replace Condition (1)(A) – (organic testing) with Condition (1)(B). </w:t>
            </w:r>
            <w:r w:rsidRPr="004F2575">
              <w:rPr>
                <w:rFonts w:ascii="Times New Roman" w:eastAsia="Times New Roman" w:hAnsi="Times New Roman" w:cs="Times New Roman"/>
                <w:noProof/>
                <w:u w:val="single"/>
              </w:rPr>
              <w:lastRenderedPageBreak/>
              <w:t>Condition (1)(A) shall remain in effect indefinitely until the department makes this determination.</w:t>
            </w:r>
          </w:p>
        </w:tc>
      </w:tr>
      <w:tr w:rsidR="004F2575" w:rsidRPr="004F2575" w14:paraId="3BD26622" w14:textId="77777777" w:rsidTr="00F1226A">
        <w:trPr>
          <w:jc w:val="center"/>
        </w:trPr>
        <w:tc>
          <w:tcPr>
            <w:tcW w:w="6935" w:type="dxa"/>
            <w:tcBorders>
              <w:top w:val="single" w:sz="4" w:space="0" w:color="auto"/>
              <w:bottom w:val="single" w:sz="4" w:space="0" w:color="auto"/>
            </w:tcBorders>
          </w:tcPr>
          <w:p w14:paraId="1D0724B1"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(1)(B).  Subsequent Organic Verification Testing of Solvents/EDC Process Wastewater Effluent</w:t>
            </w:r>
          </w:p>
          <w:p w14:paraId="36176D8C"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Following satisfactory completion of Condition (1)(A) and written concurrence by the department, The Dow Chemical Company shall continue to collect and analyze grab samples annually thereafter for Condition (3)(A) – (organic constituents) on a randomly chosen operating day during the same operating month as the previous year’s sampling event. If the department determines, in writing, that the analytical results obtained during the annual test events are significantly below delisting exclusion levels in Condition (3)(A), then The Dow Chemical Company may discontinue further organic testing of solvents/EDC process wastewater effluent. Condition (1)(B) shall remain in effect indefinitely until the department makes this determination.</w:t>
            </w:r>
          </w:p>
        </w:tc>
      </w:tr>
      <w:tr w:rsidR="004F2575" w:rsidRPr="004F2575" w14:paraId="686A939D" w14:textId="77777777" w:rsidTr="00F1226A">
        <w:trPr>
          <w:jc w:val="center"/>
        </w:trPr>
        <w:tc>
          <w:tcPr>
            <w:tcW w:w="6935" w:type="dxa"/>
            <w:tcBorders>
              <w:top w:val="single" w:sz="4" w:space="0" w:color="auto"/>
              <w:bottom w:val="single" w:sz="4" w:space="0" w:color="auto"/>
            </w:tcBorders>
          </w:tcPr>
          <w:p w14:paraId="11A4EAC4"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(1)(C).  Polychlorinated Dibenzodioxins and Polychlorinated Dibenzofurans (Dioxins and Furans) Testing </w:t>
            </w:r>
          </w:p>
          <w:p w14:paraId="7ECF0E7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During the first 30 days after promulgation of this delisting exclusion, The Dow Chemical Company shall collect and analyze a </w:t>
            </w:r>
            <w:r w:rsidRPr="004F2575">
              <w:rPr>
                <w:rFonts w:ascii="Times New Roman" w:eastAsia="Times New Roman" w:hAnsi="Times New Roman" w:cs="Times New Roman"/>
                <w:u w:val="single"/>
              </w:rPr>
              <w:lastRenderedPageBreak/>
              <w:t>grab sample of Solvents/EDC process wastewater effluent for Condition (3)(B) – (dioxins and furans).</w:t>
            </w:r>
            <w:r w:rsidRPr="004F2575">
              <w:rPr>
                <w:rFonts w:ascii="Calibri" w:eastAsia="Times New Roman" w:hAnsi="Calibri" w:cs="Times New Roman"/>
                <w:sz w:val="22"/>
                <w:szCs w:val="22"/>
                <w:u w:val="single"/>
              </w:rPr>
              <w:t xml:space="preserve"> </w:t>
            </w:r>
            <w:r w:rsidRPr="004F2575">
              <w:rPr>
                <w:rFonts w:ascii="Times New Roman" w:eastAsia="Times New Roman" w:hAnsi="Times New Roman" w:cs="Times New Roman"/>
                <w:u w:val="single"/>
              </w:rPr>
              <w:t>The Dow Chemical Company shall sample and analyze for Condition (3)(B) – (dioxins and furans) once every three years beginning three years after the initial sampling event and during the same operating month as the previous year’s sampling event. If the department determines, in writing, that analytical results are insignificant, then The Dow Chemical Company may discontinue dioxins and furans testing. Condition (1)(C) shall remain in effect indefinitely, until the department makes this determination.</w:t>
            </w:r>
          </w:p>
        </w:tc>
      </w:tr>
      <w:tr w:rsidR="004F2575" w:rsidRPr="004F2575" w14:paraId="1CAA8110" w14:textId="77777777" w:rsidTr="00F1226A">
        <w:trPr>
          <w:jc w:val="center"/>
        </w:trPr>
        <w:tc>
          <w:tcPr>
            <w:tcW w:w="6935" w:type="dxa"/>
            <w:tcBorders>
              <w:top w:val="single" w:sz="4" w:space="0" w:color="auto"/>
              <w:bottom w:val="single" w:sz="4" w:space="0" w:color="auto"/>
            </w:tcBorders>
          </w:tcPr>
          <w:p w14:paraId="5BADEAA4" w14:textId="77777777" w:rsidR="004F2575" w:rsidRPr="004F2575" w:rsidRDefault="004F2575" w:rsidP="004F2575">
            <w:pPr>
              <w:spacing w:after="200" w:line="276" w:lineRule="auto"/>
              <w:rPr>
                <w:rFonts w:ascii="Times New Roman" w:eastAsia="Times New Roman" w:hAnsi="Times New Roman" w:cs="Times New Roman"/>
                <w:noProof/>
                <w:u w:val="single"/>
              </w:rPr>
            </w:pPr>
            <w:r w:rsidRPr="004F2575">
              <w:rPr>
                <w:rFonts w:ascii="Times New Roman" w:eastAsia="Times New Roman" w:hAnsi="Times New Roman" w:cs="Times New Roman"/>
                <w:noProof/>
                <w:u w:val="single"/>
              </w:rPr>
              <w:lastRenderedPageBreak/>
              <w:t>(2).  Waste Holding and Handling</w:t>
            </w:r>
          </w:p>
          <w:p w14:paraId="3A0F720A" w14:textId="77777777" w:rsidR="004F2575" w:rsidRPr="004F2575" w:rsidRDefault="004F2575" w:rsidP="004F2575">
            <w:pPr>
              <w:spacing w:after="200" w:line="480" w:lineRule="auto"/>
              <w:rPr>
                <w:rFonts w:ascii="Times New Roman" w:eastAsia="Times New Roman" w:hAnsi="Times New Roman" w:cs="Times New Roman"/>
                <w:noProof/>
                <w:u w:val="single"/>
              </w:rPr>
            </w:pPr>
            <w:r w:rsidRPr="004F2575">
              <w:rPr>
                <w:rFonts w:ascii="Times New Roman" w:eastAsia="Times New Roman" w:hAnsi="Times New Roman" w:cs="Times New Roman"/>
                <w:noProof/>
                <w:u w:val="single"/>
              </w:rPr>
              <w:t>Subject to conditions of this delisting exclusion, the solvents/EDC process wastewater effluent becomes nonhazardous industrial solid waste.</w:t>
            </w:r>
          </w:p>
          <w:p w14:paraId="7D96C903"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noProof/>
                <w:u w:val="single"/>
              </w:rPr>
              <w:t xml:space="preserve">This newly delisted waste shall always be managed and/or disposed in accordance with all applicable solid waste regulations. If constituent levels in any representative sample equal or exceed any Condition (3) - Delisting Exclusion Levels, the solvents/EDC process water effluent shall be immediately resampled and reanalyzed for constituents that exceeded delisting exclusion levels. If the repeat analysis is less than delisting exclusion levels, then The Dow </w:t>
            </w:r>
            <w:r w:rsidRPr="004F2575">
              <w:rPr>
                <w:rFonts w:ascii="Times New Roman" w:eastAsia="Times New Roman" w:hAnsi="Times New Roman" w:cs="Times New Roman"/>
                <w:noProof/>
                <w:u w:val="single"/>
              </w:rPr>
              <w:lastRenderedPageBreak/>
              <w:t>Chemical Company shall resume Condition (1) – (sampling and analysis). If reanalysis results equal or exceed any delisting exclusion levels, then within 45 days The Dow Chemical Company shall submit a report to the department describing probable causes for exceeding the constituent level and proposing corrective action measures. The department shall determine the necessary corrective action and shall notify The Dow Chemical Company, in writing, of the corrective action needed. The Dow Chemical Company shall implement the corrective action and reinitiate sampling and analysis for the constituent(s) per Condition (1). Within 30 days after receiving written notification, The Dow Chemical Company may appeal the corrective action determined by the department. During the full period of corrective action determination and implementation this delisting exclusion of solvents/EDC process wastewater effluent shall remain in effect unless the department notifies The Dow Chemical Company, in writing, of a suspension or rescission of all or part of this delisting exclusion. Sampling and analysis shall continue through this period as long as this delisting exclusion remains in effect.</w:t>
            </w:r>
          </w:p>
        </w:tc>
      </w:tr>
      <w:tr w:rsidR="004F2575" w:rsidRPr="004F2575" w14:paraId="3F2DD4CA" w14:textId="77777777" w:rsidTr="00F1226A">
        <w:trPr>
          <w:jc w:val="center"/>
        </w:trPr>
        <w:tc>
          <w:tcPr>
            <w:tcW w:w="6935" w:type="dxa"/>
            <w:tcBorders>
              <w:top w:val="single" w:sz="4" w:space="0" w:color="auto"/>
              <w:bottom w:val="single" w:sz="4" w:space="0" w:color="auto"/>
            </w:tcBorders>
          </w:tcPr>
          <w:p w14:paraId="5425F7C9"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(3).  Delisting Exclusion Levels</w:t>
            </w:r>
          </w:p>
          <w:p w14:paraId="4F9FC3F8"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The following delisting exclusion levels have been determined safe by taking into account health-based criteria and analytical method detection limits. Condition (3) concentrations shall be measured in the extract from samples by the appropriate method(s) specified in LAC 33:V. 4903.E, and shall be less than the following levels:</w:t>
            </w:r>
          </w:p>
        </w:tc>
      </w:tr>
      <w:tr w:rsidR="004F2575" w:rsidRPr="004F2575" w14:paraId="7DA889A3" w14:textId="77777777" w:rsidTr="00F1226A">
        <w:trPr>
          <w:jc w:val="center"/>
        </w:trPr>
        <w:tc>
          <w:tcPr>
            <w:tcW w:w="6935" w:type="dxa"/>
            <w:tcBorders>
              <w:top w:val="single" w:sz="4" w:space="0" w:color="auto"/>
              <w:bottom w:val="single" w:sz="4" w:space="0" w:color="auto"/>
            </w:tcBorders>
          </w:tcPr>
          <w:p w14:paraId="5C491F19"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(3)(A).  Organic Constituents in Solvents/EDC Process Wastewater Effluent</w:t>
            </w:r>
          </w:p>
          <w:p w14:paraId="7C3AFA7D"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Carbon Tetrachloride—0.057 mg/L; Methylene Chloride—0.089 mg/L.</w:t>
            </w:r>
          </w:p>
        </w:tc>
      </w:tr>
      <w:tr w:rsidR="004F2575" w:rsidRPr="004F2575" w14:paraId="3B44C093" w14:textId="77777777" w:rsidTr="00F1226A">
        <w:trPr>
          <w:jc w:val="center"/>
        </w:trPr>
        <w:tc>
          <w:tcPr>
            <w:tcW w:w="6935" w:type="dxa"/>
            <w:tcBorders>
              <w:top w:val="single" w:sz="4" w:space="0" w:color="auto"/>
              <w:bottom w:val="single" w:sz="4" w:space="0" w:color="auto"/>
            </w:tcBorders>
          </w:tcPr>
          <w:p w14:paraId="45B538B6"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(3)(B).  Dioxins and Furans in Solvents/EDC Process Wastewater Effluent</w:t>
            </w:r>
          </w:p>
          <w:p w14:paraId="544D79C1"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The 15 congeners listed in Section 1.1 of EPA Publication SW-846 Method 8290—(monitor only).</w:t>
            </w:r>
          </w:p>
        </w:tc>
      </w:tr>
      <w:tr w:rsidR="004F2575" w:rsidRPr="004F2575" w14:paraId="2F0B0193" w14:textId="77777777" w:rsidTr="00F1226A">
        <w:trPr>
          <w:jc w:val="center"/>
        </w:trPr>
        <w:tc>
          <w:tcPr>
            <w:tcW w:w="6935" w:type="dxa"/>
            <w:tcBorders>
              <w:top w:val="single" w:sz="4" w:space="0" w:color="auto"/>
              <w:bottom w:val="single" w:sz="4" w:space="0" w:color="auto"/>
            </w:tcBorders>
          </w:tcPr>
          <w:p w14:paraId="579C8A9D"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(4).  Changes in F-700 Thermal Treatment Unit Operating Conditions or Waste Feed Streams</w:t>
            </w:r>
          </w:p>
          <w:p w14:paraId="2B7E8041"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If Blue Cube Operations LLC significantly changes operating conditions of the solvents/EDC production unit F-700 thermal treatment unit (incinerator) specified in the RCRA permit or delisting exclusion petition submitted by The Dow Chemical Company, adds </w:t>
            </w:r>
            <w:r w:rsidRPr="004F2575">
              <w:rPr>
                <w:rFonts w:ascii="Times New Roman" w:eastAsia="Times New Roman" w:hAnsi="Times New Roman" w:cs="Times New Roman"/>
                <w:u w:val="single"/>
              </w:rPr>
              <w:lastRenderedPageBreak/>
              <w:t xml:space="preserve">any previously unpermitted waste feed streams to the incinerator, or significantly changes any waste feed profile described in the delisting exclusion petition, and any of these actions would justify a Class 3 modification to Blue Cube Operations LLC’s RCRA permit pertaining to this combustion unit, Blue Cube Operations, LLC shall notify the department, in writing. Following receipt of written acknowledgement by the department and after Blue Cube Operations LLC has implemented the changes, Blue Cube Operations, LLC shall collect and analyze a grab sample of solvents/EDC process wastewater effluent for the full listing of constituents found in 40 CFR part 264, appendix IX—Groundwater Monitoring List (LAC 33:V.3325). If appendix IX analysis results identify any hazardous constituent above delisting exclusion levels, or above universal treatment standards at 40 CFR 268.48, then Blue Cube Operations, LLC shall reinstitute Condition (1) testing for a minimum of six months, or until the department determines, in writing, that no more monitoring is required. This conditional delisting exclusion of solvents/EDC process wastewater effluent shall remain in effect until the department deems circumstances warrant suspending, amending, or terminating this delisting exclusion. Blue Cube Operations LLC may eliminate feeding any waste stream to the incinerator at any time </w:t>
            </w:r>
            <w:r w:rsidRPr="004F2575">
              <w:rPr>
                <w:rFonts w:ascii="Times New Roman" w:eastAsia="Times New Roman" w:hAnsi="Times New Roman" w:cs="Times New Roman"/>
                <w:u w:val="single"/>
              </w:rPr>
              <w:lastRenderedPageBreak/>
              <w:t>without affecting this delisting exclusion of the solvents/EDC process wastewater effluent or any monitoring schedule.</w:t>
            </w:r>
          </w:p>
        </w:tc>
      </w:tr>
    </w:tbl>
    <w:p w14:paraId="54483493" w14:textId="77777777" w:rsidR="004F2575" w:rsidRPr="004F2575" w:rsidRDefault="004F2575" w:rsidP="004F2575">
      <w:pPr>
        <w:spacing w:line="480" w:lineRule="auto"/>
        <w:rPr>
          <w:rFonts w:ascii="Times New Roman" w:eastAsia="Times New Roman" w:hAnsi="Times New Roman" w:cs="Times New Roman"/>
        </w:rPr>
      </w:pPr>
    </w:p>
    <w:tbl>
      <w:tblPr>
        <w:tblW w:w="6935"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35"/>
      </w:tblGrid>
      <w:tr w:rsidR="004F2575" w:rsidRPr="004F2575" w14:paraId="6D47D5A8" w14:textId="77777777" w:rsidTr="00F1226A">
        <w:trPr>
          <w:cantSplit/>
          <w:trHeight w:val="420"/>
          <w:tblHeader/>
          <w:jc w:val="center"/>
        </w:trPr>
        <w:tc>
          <w:tcPr>
            <w:tcW w:w="6935" w:type="dxa"/>
            <w:shd w:val="clear" w:color="auto" w:fill="auto"/>
            <w:vAlign w:val="center"/>
          </w:tcPr>
          <w:p w14:paraId="7115D2E0" w14:textId="77777777" w:rsidR="004F2575" w:rsidRPr="004F2575" w:rsidRDefault="004F2575" w:rsidP="004F2575">
            <w:pPr>
              <w:spacing w:after="60" w:line="480" w:lineRule="auto"/>
              <w:jc w:val="center"/>
              <w:rPr>
                <w:rFonts w:ascii="Times New Roman" w:eastAsia="Times New Roman" w:hAnsi="Times New Roman" w:cs="Times New Roman"/>
                <w:kern w:val="2"/>
                <w:u w:val="single"/>
              </w:rPr>
            </w:pPr>
            <w:r w:rsidRPr="004F2575">
              <w:rPr>
                <w:rFonts w:ascii="Times New Roman" w:eastAsia="Times New Roman" w:hAnsi="Times New Roman" w:cs="Times New Roman"/>
                <w:kern w:val="2"/>
                <w:u w:val="single"/>
              </w:rPr>
              <w:t xml:space="preserve">Table 1 </w:t>
            </w:r>
            <w:r w:rsidRPr="004F2575">
              <w:rPr>
                <w:rFonts w:ascii="Times New Roman" w:eastAsia="Times New Roman" w:hAnsi="Times New Roman" w:cs="Times New Roman"/>
                <w:bCs/>
                <w:kern w:val="2"/>
                <w:u w:val="single"/>
              </w:rPr>
              <w:t>–</w:t>
            </w:r>
            <w:r w:rsidRPr="004F2575">
              <w:rPr>
                <w:rFonts w:ascii="Times New Roman" w:eastAsia="Times New Roman" w:hAnsi="Times New Roman" w:cs="Times New Roman"/>
                <w:kern w:val="2"/>
                <w:u w:val="single"/>
              </w:rPr>
              <w:t xml:space="preserve"> Wastes Excluded</w:t>
            </w:r>
          </w:p>
        </w:tc>
      </w:tr>
      <w:tr w:rsidR="004F2575" w:rsidRPr="004F2575" w14:paraId="600D8ACA" w14:textId="77777777" w:rsidTr="00F1226A">
        <w:trPr>
          <w:cantSplit/>
          <w:trHeight w:val="170"/>
          <w:tblHeader/>
          <w:jc w:val="center"/>
        </w:trPr>
        <w:tc>
          <w:tcPr>
            <w:tcW w:w="6935" w:type="dxa"/>
            <w:tcBorders>
              <w:bottom w:val="single" w:sz="4" w:space="0" w:color="auto"/>
            </w:tcBorders>
            <w:shd w:val="clear" w:color="auto" w:fill="auto"/>
          </w:tcPr>
          <w:p w14:paraId="77DC78A7" w14:textId="77777777" w:rsidR="004F2575" w:rsidRPr="004F2575" w:rsidRDefault="004F2575" w:rsidP="004F2575">
            <w:pPr>
              <w:spacing w:after="60" w:line="480" w:lineRule="auto"/>
              <w:jc w:val="center"/>
              <w:rPr>
                <w:rFonts w:ascii="Times New Roman" w:eastAsia="Times New Roman" w:hAnsi="Times New Roman" w:cs="Times New Roman"/>
                <w:bCs/>
                <w:kern w:val="2"/>
                <w:u w:val="single"/>
              </w:rPr>
            </w:pPr>
            <w:r w:rsidRPr="004F2575">
              <w:rPr>
                <w:rFonts w:ascii="Times New Roman" w:eastAsia="Times New Roman" w:hAnsi="Times New Roman" w:cs="Times New Roman"/>
                <w:bCs/>
                <w:kern w:val="2"/>
                <w:u w:val="single"/>
              </w:rPr>
              <w:t>The Dow Chemical Company, Plaquemine, LA</w:t>
            </w:r>
          </w:p>
        </w:tc>
      </w:tr>
      <w:tr w:rsidR="004F2575" w:rsidRPr="004F2575" w14:paraId="407DF223" w14:textId="77777777" w:rsidTr="00F1226A">
        <w:trPr>
          <w:jc w:val="center"/>
        </w:trPr>
        <w:tc>
          <w:tcPr>
            <w:tcW w:w="6935" w:type="dxa"/>
            <w:tcBorders>
              <w:top w:val="single" w:sz="4" w:space="0" w:color="auto"/>
              <w:bottom w:val="single" w:sz="4" w:space="0" w:color="auto"/>
            </w:tcBorders>
          </w:tcPr>
          <w:p w14:paraId="0292456C"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The Solvents East Ditch (owned by The Dow Chemical Company) historically receives process wastewater effluent from the solvents/EDC production unit, formerly owned and operated by The Dow Chemical Company, but currently owned and operated by Blue Cube Operations LLC since October 5, 2015. Blue Cube Operations LLC generates solvents/EDC process wastewater effluent from an air pollution control system (wet scrubbing) that treats combustion gas produced from RCRA-permitted F-700 thermal treatment unit (incinerator), which burns chlorinated organic wastes carrying EPA listed hazardous waste numbers K016, K019, U044, U045, U077, U080, U083, U210, U211, U227, and F024. The specific hazardous wastes combusted and their EPA hazardous waste numbers are: Solvent Heavies (Tank D-700) – D001, D019, D022, D028, D032, D033, D034, D035, D039, and D040; EDC Heavies (Tank T-107) – D001, D018, D019, D022, D028, D032, D033, D035, D039, D040, K019, U077, and U227; Hexes (Tanks D-13/D-15) – D019, D032, </w:t>
            </w:r>
            <w:r w:rsidRPr="004F2575">
              <w:rPr>
                <w:rFonts w:ascii="Times New Roman" w:eastAsia="Times New Roman" w:hAnsi="Times New Roman" w:cs="Times New Roman"/>
                <w:u w:val="single"/>
              </w:rPr>
              <w:lastRenderedPageBreak/>
              <w:t>D033, D034, D039, K016, U210, and U211; Chlorine Taffy (from chlorine unit) – D019, D022, D032, D033, D034, and D039; General Waste (Tank D-42) – D001, D019, D022, D028, D032, D033, D034, D039, K016, K019, U044, U077, U080, U083, U210, and U211; VRU Waste (Tank D-930) – D001, D019, D022, D028, D033, D039, U044, U077, U080, U210, and U211; Glycol Ethers/PDC (from Dow’s glycol unit) – D001, D019, D022, D028, D032, D035, and D039. The Solvents East Ditch sediment also carries the same aforementioned waste numbers (including U045 and F024, associated with past operations only). The Dow Chemical Company shall implement a sampling and analysis monitoring program that meets the following conditions for this hazardous waste number delisting exclusion to remain in effect.</w:t>
            </w:r>
          </w:p>
        </w:tc>
      </w:tr>
      <w:tr w:rsidR="004F2575" w:rsidRPr="004F2575" w14:paraId="4DE0380E"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3ABF0182"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(1).  Testing</w:t>
            </w:r>
          </w:p>
          <w:p w14:paraId="4CA9AC12"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For monitoring purposes, Solvents East Ditch sediment samples for analysis shall either be:</w:t>
            </w:r>
          </w:p>
          <w:p w14:paraId="243B1232"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a)</w:t>
            </w:r>
            <w:r w:rsidRPr="004F2575">
              <w:rPr>
                <w:rFonts w:ascii="Times New Roman" w:eastAsia="Times New Roman" w:hAnsi="Times New Roman" w:cs="Times New Roman"/>
                <w:u w:val="single"/>
              </w:rPr>
              <w:tab/>
              <w:t>in-situ ditch sediment collected according to an LDEQ-approved sampling and analysis plan; or</w:t>
            </w:r>
          </w:p>
          <w:p w14:paraId="0935D1F9"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b)</w:t>
            </w:r>
            <w:r w:rsidRPr="004F2575">
              <w:rPr>
                <w:rFonts w:ascii="Times New Roman" w:eastAsia="Times New Roman" w:hAnsi="Times New Roman" w:cs="Times New Roman"/>
                <w:u w:val="single"/>
              </w:rPr>
              <w:tab/>
              <w:t>solids filtered from solvents/EDC process wastewater effluent before it comingles with any other waste stream or process area stormwater runoff.</w:t>
            </w:r>
          </w:p>
          <w:p w14:paraId="70C4EDB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Sample collections and analyses, including quality control procedures, shall be performed according to methodologies described in </w:t>
            </w:r>
            <w:r w:rsidRPr="004F2575">
              <w:rPr>
                <w:rFonts w:ascii="Times New Roman" w:eastAsia="Times New Roman" w:hAnsi="Times New Roman" w:cs="Times New Roman"/>
                <w:i/>
                <w:u w:val="single"/>
              </w:rPr>
              <w:t>Test Methods for Evaluating Solid Waste, Physical/Chemical Methods</w:t>
            </w:r>
            <w:r w:rsidRPr="004F2575">
              <w:rPr>
                <w:rFonts w:ascii="Times New Roman" w:eastAsia="Times New Roman" w:hAnsi="Times New Roman" w:cs="Times New Roman"/>
                <w:u w:val="single"/>
              </w:rPr>
              <w:t>, EPA Publication SW-846, as incorporated by reference in LAC 33:V.110. All samples shall be taken while the F-700 thermal treatment unit is operating between 2,000 – 4,800 lb/hr. All results, including quality control information, shall be reported to the department.</w:t>
            </w:r>
          </w:p>
        </w:tc>
      </w:tr>
      <w:tr w:rsidR="004F2575" w:rsidRPr="004F2575" w14:paraId="3CAF67D8"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2DD3624E"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 xml:space="preserve"> (1)(A).  Initial Organic Verification Testing of Solvents East Ditch Sediment</w:t>
            </w:r>
          </w:p>
          <w:p w14:paraId="216F0F6C"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During the first six months after promulgation of this delisting exclusion, The Dow Chemical Company shall collect and analyze a sample of Solvents East Ditch sediment for Condition (3)(A) – (organic constituents). After completing this initial test event, The Dow Chemical Company shall sample and analyze for Condition (3)(A) – (organic constituents) annually for up to three years afterward during the same operating period as the previous year’s </w:t>
            </w:r>
            <w:r w:rsidRPr="004F2575">
              <w:rPr>
                <w:rFonts w:ascii="Times New Roman" w:eastAsia="Times New Roman" w:hAnsi="Times New Roman" w:cs="Times New Roman"/>
                <w:u w:val="single"/>
              </w:rPr>
              <w:lastRenderedPageBreak/>
              <w:t>sampling event. If the analytical results are significantly below Condition (3)(A) – (delisting exclusion levels), as determined by the department in writing, then The Dow Chemical Company may discontinue further organic monitoring of Solvents East Ditch sediment. Condition (1)(A) shall remain in effect on an annual basis indefinitely until the department makes this determination.</w:t>
            </w:r>
          </w:p>
        </w:tc>
      </w:tr>
      <w:tr w:rsidR="004F2575" w:rsidRPr="004F2575" w14:paraId="4BB5E939"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302F997E"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(1)(B).  Polychlorinated Dibenzodioxins and Polychlorinated Dibenzofurans (Dioxins and Furans) Monitoring</w:t>
            </w:r>
          </w:p>
          <w:p w14:paraId="2D205050"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During the first 30 days after promulgation of this delisting exclusion, The Dow Chemical Company shall collect and analyze a Solvents East Ditch sediment sample for Condition (3)(B) – (dioxins and furans). The Dow Chemical Company shall sample and analyze for Condition (3)(B) – (dioxins and furans) once every three years beginning three years after the initial sampling event and during the same operating month as the previous year’s sampling event. If the department determines, in writing, that analytical results are significantly below universal treatment standards, then The Dow Chemical Company may discontinue further monitoring of Solvents East Ditch sediment for dioxins and furans. Condition (1)(B) shall </w:t>
            </w:r>
            <w:r w:rsidRPr="004F2575">
              <w:rPr>
                <w:rFonts w:ascii="Times New Roman" w:eastAsia="Times New Roman" w:hAnsi="Times New Roman" w:cs="Times New Roman"/>
                <w:u w:val="single"/>
              </w:rPr>
              <w:lastRenderedPageBreak/>
              <w:t>remain in effect indefinitely, until the department makes this determination.</w:t>
            </w:r>
          </w:p>
        </w:tc>
      </w:tr>
      <w:tr w:rsidR="004F2575" w:rsidRPr="004F2575" w14:paraId="6596D6B9"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1CC1199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(2).  Waste Holding and Handling</w:t>
            </w:r>
          </w:p>
          <w:p w14:paraId="36FF35DB"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Subject to conditions of this delisting exclusion, Solvents East Ditch sediment becomes nonhazardous industrial solid waste.</w:t>
            </w:r>
          </w:p>
          <w:p w14:paraId="77C1EC6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This newly delisted waste shall always be managed and/or disposed in accordance with all applicable solid waste regulations. If constituent levels in any representative sample equal or exceed any Condition (3) – Delisting Exclusion Levels, the Solvents East Ditch sediment shall be immediately resampled and reanalyzed for constituents that exceed delisting exclusion levels. If the repeat analysis is less than delisting exclusion levels, then The Dow Chemical Company shall resume Condition (1) – (sampling and analysis). If reanalysis results equal or exceed any delisting exclusion levels, then within 45 days The Dow Chemical Company shall submit a report to the department describing probable cause(s) for exceeding the constituent level and proposing corrective action measures. The department shall determine the necessary corrective action and shall notify The Dow Chemical Company of the corrective action needed. The Dow Chemical Company shall implement the </w:t>
            </w:r>
            <w:r w:rsidRPr="004F2575">
              <w:rPr>
                <w:rFonts w:ascii="Times New Roman" w:eastAsia="Times New Roman" w:hAnsi="Times New Roman" w:cs="Times New Roman"/>
                <w:u w:val="single"/>
              </w:rPr>
              <w:lastRenderedPageBreak/>
              <w:t>corrective action and reinitiate sampling and analysis for the constituent(s) per Condition (1). Within 30 days after receiving written notification, The Dow Chemical Company may appeal the corrective action determined by the department. During the full period of corrective action determination and implementation, this delisting exclusion of Solvents East Ditch sediment shall remain in effect unless the department notifies The Dow Chemical Company, in writing, of a suspension or rescission of all or part of this delisting exclusion. Sampling and analysis shall continue through this period, as long as this delisting exclusion remains in effect.</w:t>
            </w:r>
          </w:p>
        </w:tc>
      </w:tr>
      <w:tr w:rsidR="004F2575" w:rsidRPr="004F2575" w14:paraId="18102BC1"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66B8771C"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(3).  Delisting Exclusion Levels</w:t>
            </w:r>
          </w:p>
          <w:p w14:paraId="4DBE495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The following delisting exclusion levels have been determined safe by taking into account health-based criteria and analytical method detection limits. Condition (3) concentrations shall be measured in the extract from samples by the appropriate method(s) specified in LAC 33:V. 4903.E. Concentrations in the extract shall be less than the following levels:</w:t>
            </w:r>
          </w:p>
        </w:tc>
      </w:tr>
      <w:tr w:rsidR="004F2575" w:rsidRPr="004F2575" w14:paraId="1E989197"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3F6B57D7"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(3)(A).  Organic Constituents in Solvents East Ditch Sediment</w:t>
            </w:r>
          </w:p>
          <w:p w14:paraId="1415ACF3"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Methylene Chloride—30.0 mg/kg.</w:t>
            </w:r>
          </w:p>
        </w:tc>
      </w:tr>
      <w:tr w:rsidR="004F2575" w:rsidRPr="004F2575" w14:paraId="05DBDE46"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5E1600E1"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(3)(B).  Dioxins and Furans in Solvents East Ditch Sediment</w:t>
            </w:r>
          </w:p>
          <w:p w14:paraId="0D2CAC55"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The 15 congeners listed in Section 1.1 of EPA Publication Number SW-846 Method 8290—monitor only, ug/kg.</w:t>
            </w:r>
          </w:p>
        </w:tc>
      </w:tr>
      <w:tr w:rsidR="004F2575" w:rsidRPr="004F2575" w14:paraId="6B160B41"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5EEAC90B"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(4).  Changes in F-700 Thermal Treatment Unit Operating Conditions or Waste Feed Streams</w:t>
            </w:r>
          </w:p>
          <w:p w14:paraId="702F8BE0"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If Blue Cube Operations LLC significantly changes operating conditions of the solvents/EDC production unit F-700 thermal treatment unit (incinerator) specified in the delisting exclusion petition submitted by The Dow Chemical Company, adds any previously unpermitted waste feed streams to the incinerator, or significantly changes any waste feed profile described in the delisting exclusion petition, and any of these actions would justify a Class 3 modification to Blue Cube Operations LLC’s RCRA permit, Blue Cube Operations, LLC shall notify the department, in writing. Following receipt of written acknowledgement by the department and after Blue Cube Operations LLC has implemented the changes, Blue Cube Operations, LLC shall collect and analyze a Solvents East Ditch sediment sample for the full listing of constituents found in 40 CFR part 264, appendix IX—Groundwater Monitoring List (LAC 33:V.3325).  If appendix IX analysis results identify any hazardous </w:t>
            </w:r>
            <w:r w:rsidRPr="004F2575">
              <w:rPr>
                <w:rFonts w:ascii="Times New Roman" w:eastAsia="Times New Roman" w:hAnsi="Times New Roman" w:cs="Times New Roman"/>
                <w:u w:val="single"/>
              </w:rPr>
              <w:lastRenderedPageBreak/>
              <w:t>constituent above delisting exclusion levels, or above universal treatment standards at 40 CFR 268.48, then Blue Cube Operations, LLC shall reinstitute Condition (1) testing for a minimum of two six-month operating periods, or until the department determines, in writing, that no more monitoring is required. This conditional delisting exclusion of Solvents East Ditch sediment shall remain in effect until the department deems circumstances warrant suspending, amending, or terminating this delisting exclusion. Blue Cube Operations LLC may eliminate feeding any waste stream to the incinerator at any time without affecting the delisting exclusion of Solvents East Ditch sediment or any monitoring schedule.</w:t>
            </w:r>
          </w:p>
        </w:tc>
      </w:tr>
      <w:tr w:rsidR="004F2575" w:rsidRPr="004F2575" w14:paraId="5A63CFF7" w14:textId="77777777" w:rsidTr="00F1226A">
        <w:trPr>
          <w:jc w:val="center"/>
        </w:trPr>
        <w:tc>
          <w:tcPr>
            <w:tcW w:w="6935" w:type="dxa"/>
            <w:tcBorders>
              <w:top w:val="single" w:sz="4" w:space="0" w:color="auto"/>
              <w:left w:val="double" w:sz="4" w:space="0" w:color="auto"/>
              <w:bottom w:val="single" w:sz="4" w:space="0" w:color="auto"/>
              <w:right w:val="double" w:sz="4" w:space="0" w:color="auto"/>
            </w:tcBorders>
          </w:tcPr>
          <w:p w14:paraId="47BAB89F"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lastRenderedPageBreak/>
              <w:t>(5).  Changes in Analytical Profile of Solvents East Ditch Sediment.</w:t>
            </w:r>
          </w:p>
          <w:p w14:paraId="614976EA" w14:textId="77777777" w:rsidR="004F2575" w:rsidRPr="004F2575" w:rsidRDefault="004F2575" w:rsidP="004F2575">
            <w:pPr>
              <w:spacing w:after="200" w:line="480" w:lineRule="auto"/>
              <w:rPr>
                <w:rFonts w:ascii="Times New Roman" w:eastAsia="Times New Roman" w:hAnsi="Times New Roman" w:cs="Times New Roman"/>
                <w:u w:val="single"/>
              </w:rPr>
            </w:pPr>
            <w:r w:rsidRPr="004F2575">
              <w:rPr>
                <w:rFonts w:ascii="Times New Roman" w:eastAsia="Times New Roman" w:hAnsi="Times New Roman" w:cs="Times New Roman"/>
                <w:u w:val="single"/>
              </w:rPr>
              <w:t xml:space="preserve">Solvents East Ditch sediment in-situ is excluded from certain EPA waste number categories presumptive upon the initial analysis for hazardous constituents in solids filtered from continuously generated solvents/EDC process wastewater effluent, as presented in the delisting exclusion petition submitted to LDEQ. This delisting exclusion does not extend to any additional hazardous waste numbers determined applicable subsequent to actual analysis of Solvents East </w:t>
            </w:r>
            <w:r w:rsidRPr="004F2575">
              <w:rPr>
                <w:rFonts w:ascii="Times New Roman" w:eastAsia="Times New Roman" w:hAnsi="Times New Roman" w:cs="Times New Roman"/>
                <w:u w:val="single"/>
              </w:rPr>
              <w:lastRenderedPageBreak/>
              <w:t>Ditch sediment in-situ, nor absolve Blue Cube Operations, LLC from any management or corrective action that might be required.</w:t>
            </w:r>
          </w:p>
        </w:tc>
      </w:tr>
    </w:tbl>
    <w:p w14:paraId="422E1238" w14:textId="77777777" w:rsidR="004F2575" w:rsidRPr="004F2575" w:rsidRDefault="004F2575" w:rsidP="004F2575">
      <w:pPr>
        <w:spacing w:line="480" w:lineRule="auto"/>
        <w:rPr>
          <w:rFonts w:ascii="Times New Roman" w:eastAsia="Times New Roman" w:hAnsi="Times New Roman" w:cs="Times New Roman"/>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5"/>
      </w:tblGrid>
      <w:tr w:rsidR="004F2575" w:rsidRPr="004F2575" w14:paraId="7F367319" w14:textId="77777777" w:rsidTr="00F1226A">
        <w:trPr>
          <w:jc w:val="center"/>
        </w:trPr>
        <w:tc>
          <w:tcPr>
            <w:tcW w:w="7095" w:type="dxa"/>
            <w:shd w:val="clear" w:color="auto" w:fill="auto"/>
          </w:tcPr>
          <w:p w14:paraId="7C7DBFDD"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kern w:val="2"/>
              </w:rPr>
              <w:t>Table 2 – One-Time Wastes Excluded</w:t>
            </w:r>
          </w:p>
        </w:tc>
      </w:tr>
      <w:tr w:rsidR="004F2575" w:rsidRPr="004F2575" w14:paraId="4DAFF5F5" w14:textId="77777777" w:rsidTr="00F1226A">
        <w:trPr>
          <w:jc w:val="center"/>
        </w:trPr>
        <w:tc>
          <w:tcPr>
            <w:tcW w:w="7095" w:type="dxa"/>
            <w:shd w:val="clear" w:color="auto" w:fill="auto"/>
          </w:tcPr>
          <w:p w14:paraId="66EA82FC"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Murphy Exploration and Production Company, Amelia, LA</w:t>
            </w:r>
          </w:p>
        </w:tc>
      </w:tr>
      <w:tr w:rsidR="004F2575" w:rsidRPr="004F2575" w14:paraId="08FE8400" w14:textId="77777777" w:rsidTr="00F1226A">
        <w:trPr>
          <w:jc w:val="center"/>
        </w:trPr>
        <w:tc>
          <w:tcPr>
            <w:tcW w:w="7095" w:type="dxa"/>
          </w:tcPr>
          <w:p w14:paraId="727B8DDE"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 * *</w:t>
            </w:r>
          </w:p>
        </w:tc>
      </w:tr>
    </w:tbl>
    <w:p w14:paraId="271A9B57" w14:textId="77777777" w:rsidR="004F2575" w:rsidRPr="004F2575" w:rsidRDefault="004F2575" w:rsidP="004F2575">
      <w:pPr>
        <w:spacing w:line="480" w:lineRule="auto"/>
        <w:rPr>
          <w:rFonts w:ascii="Times New Roman" w:eastAsia="Times New Roman" w:hAnsi="Times New Roman" w:cs="Times New Roman"/>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8"/>
      </w:tblGrid>
      <w:tr w:rsidR="004F2575" w:rsidRPr="004F2575" w14:paraId="44DE1B60" w14:textId="77777777" w:rsidTr="00F1226A">
        <w:trPr>
          <w:jc w:val="center"/>
        </w:trPr>
        <w:tc>
          <w:tcPr>
            <w:tcW w:w="7098" w:type="dxa"/>
            <w:shd w:val="clear" w:color="auto" w:fill="auto"/>
          </w:tcPr>
          <w:p w14:paraId="42C619F1"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kern w:val="2"/>
              </w:rPr>
              <w:t>Table 2 – One-Time Wastes Excluded</w:t>
            </w:r>
          </w:p>
        </w:tc>
      </w:tr>
      <w:tr w:rsidR="004F2575" w:rsidRPr="004F2575" w14:paraId="30F0D586" w14:textId="77777777" w:rsidTr="00F1226A">
        <w:trPr>
          <w:jc w:val="center"/>
        </w:trPr>
        <w:tc>
          <w:tcPr>
            <w:tcW w:w="7098" w:type="dxa"/>
            <w:shd w:val="clear" w:color="auto" w:fill="auto"/>
          </w:tcPr>
          <w:p w14:paraId="17CD1023"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Conrad Industries, Inc. (Conrad), Morgan City, LA</w:t>
            </w:r>
          </w:p>
        </w:tc>
      </w:tr>
      <w:tr w:rsidR="004F2575" w:rsidRPr="004F2575" w14:paraId="7CC0EA22" w14:textId="77777777" w:rsidTr="00F1226A">
        <w:trPr>
          <w:jc w:val="center"/>
        </w:trPr>
        <w:tc>
          <w:tcPr>
            <w:tcW w:w="7098" w:type="dxa"/>
          </w:tcPr>
          <w:p w14:paraId="223C421C" w14:textId="77777777" w:rsidR="004F2575" w:rsidRPr="004F2575" w:rsidRDefault="004F2575" w:rsidP="004F2575">
            <w:pPr>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rPr>
              <w:t>* * *</w:t>
            </w:r>
          </w:p>
        </w:tc>
      </w:tr>
    </w:tbl>
    <w:p w14:paraId="0FE322E0" w14:textId="77777777" w:rsidR="004F2575" w:rsidRPr="004F2575" w:rsidRDefault="004F2575" w:rsidP="004F2575">
      <w:pPr>
        <w:jc w:val="both"/>
        <w:rPr>
          <w:rFonts w:ascii="Times New Roman" w:eastAsia="Times New Roman" w:hAnsi="Times New Roman" w:cs="Times New Roman"/>
          <w:b/>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8"/>
      </w:tblGrid>
      <w:tr w:rsidR="004F2575" w:rsidRPr="004F2575" w14:paraId="603EE5F8" w14:textId="77777777" w:rsidTr="00F1226A">
        <w:trPr>
          <w:jc w:val="center"/>
        </w:trPr>
        <w:tc>
          <w:tcPr>
            <w:tcW w:w="7098" w:type="dxa"/>
            <w:shd w:val="clear" w:color="auto" w:fill="auto"/>
          </w:tcPr>
          <w:p w14:paraId="17BD9D0E"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kern w:val="2"/>
              </w:rPr>
              <w:t>Table 2 – One-Time Wastes Excluded</w:t>
            </w:r>
          </w:p>
        </w:tc>
      </w:tr>
      <w:tr w:rsidR="004F2575" w:rsidRPr="004F2575" w14:paraId="478220FE" w14:textId="77777777" w:rsidTr="00F1226A">
        <w:trPr>
          <w:jc w:val="center"/>
        </w:trPr>
        <w:tc>
          <w:tcPr>
            <w:tcW w:w="7098" w:type="dxa"/>
            <w:shd w:val="clear" w:color="auto" w:fill="auto"/>
          </w:tcPr>
          <w:p w14:paraId="68094AA9"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Marine Shale Processors, Inc., Amelia LA</w:t>
            </w:r>
          </w:p>
        </w:tc>
      </w:tr>
      <w:tr w:rsidR="004F2575" w:rsidRPr="004F2575" w14:paraId="2125D713" w14:textId="77777777" w:rsidTr="00F1226A">
        <w:trPr>
          <w:jc w:val="center"/>
        </w:trPr>
        <w:tc>
          <w:tcPr>
            <w:tcW w:w="7098" w:type="dxa"/>
          </w:tcPr>
          <w:p w14:paraId="663883D1" w14:textId="77777777" w:rsidR="004F2575" w:rsidRPr="004F2575" w:rsidRDefault="004F2575" w:rsidP="004F2575">
            <w:pPr>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rPr>
              <w:t>* * *</w:t>
            </w:r>
          </w:p>
        </w:tc>
      </w:tr>
    </w:tbl>
    <w:p w14:paraId="43B8A7D4" w14:textId="77777777" w:rsidR="004F2575" w:rsidRPr="004F2575" w:rsidRDefault="004F2575" w:rsidP="004F2575">
      <w:pPr>
        <w:jc w:val="both"/>
        <w:rPr>
          <w:rFonts w:ascii="Times New Roman" w:eastAsia="Times New Roman" w:hAnsi="Times New Roman" w:cs="Times New Roman"/>
          <w:b/>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8"/>
      </w:tblGrid>
      <w:tr w:rsidR="004F2575" w:rsidRPr="004F2575" w14:paraId="31681061" w14:textId="77777777" w:rsidTr="00F1226A">
        <w:trPr>
          <w:jc w:val="center"/>
        </w:trPr>
        <w:tc>
          <w:tcPr>
            <w:tcW w:w="7098" w:type="dxa"/>
            <w:shd w:val="clear" w:color="auto" w:fill="auto"/>
          </w:tcPr>
          <w:p w14:paraId="1E0B4523"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kern w:val="2"/>
              </w:rPr>
              <w:t>Table 2 – One-Time Wastes Excluded</w:t>
            </w:r>
          </w:p>
        </w:tc>
      </w:tr>
      <w:tr w:rsidR="004F2575" w:rsidRPr="004F2575" w14:paraId="11D2081B" w14:textId="77777777" w:rsidTr="00F1226A">
        <w:trPr>
          <w:jc w:val="center"/>
        </w:trPr>
        <w:tc>
          <w:tcPr>
            <w:tcW w:w="7098" w:type="dxa"/>
            <w:shd w:val="clear" w:color="auto" w:fill="auto"/>
          </w:tcPr>
          <w:p w14:paraId="004929B7" w14:textId="77777777" w:rsidR="004F2575" w:rsidRPr="004F2575" w:rsidRDefault="004F2575" w:rsidP="004F2575">
            <w:pPr>
              <w:widowControl w:val="0"/>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bCs/>
                <w:kern w:val="2"/>
              </w:rPr>
              <w:t>Chevron Oronite Company LLC – Oak Point Plant, Belle Chasse, LA</w:t>
            </w:r>
          </w:p>
        </w:tc>
      </w:tr>
      <w:tr w:rsidR="004F2575" w:rsidRPr="004F2575" w14:paraId="74BBC002" w14:textId="77777777" w:rsidTr="00F1226A">
        <w:trPr>
          <w:jc w:val="center"/>
        </w:trPr>
        <w:tc>
          <w:tcPr>
            <w:tcW w:w="7098" w:type="dxa"/>
          </w:tcPr>
          <w:p w14:paraId="418DB73F" w14:textId="77777777" w:rsidR="004F2575" w:rsidRPr="004F2575" w:rsidRDefault="004F2575" w:rsidP="004F2575">
            <w:pPr>
              <w:spacing w:line="480" w:lineRule="auto"/>
              <w:jc w:val="center"/>
              <w:rPr>
                <w:rFonts w:ascii="Times New Roman" w:eastAsia="Times New Roman" w:hAnsi="Times New Roman" w:cs="Times New Roman"/>
                <w:bCs/>
                <w:kern w:val="2"/>
              </w:rPr>
            </w:pPr>
            <w:r w:rsidRPr="004F2575">
              <w:rPr>
                <w:rFonts w:ascii="Times New Roman" w:eastAsia="Times New Roman" w:hAnsi="Times New Roman" w:cs="Times New Roman"/>
              </w:rPr>
              <w:t>* * *</w:t>
            </w:r>
          </w:p>
        </w:tc>
      </w:tr>
    </w:tbl>
    <w:p w14:paraId="61C2141F" w14:textId="77777777" w:rsidR="004F2575" w:rsidRPr="004F2575" w:rsidRDefault="004F2575" w:rsidP="004F2575">
      <w:pPr>
        <w:jc w:val="both"/>
        <w:rPr>
          <w:rFonts w:ascii="Times New Roman" w:eastAsia="Times New Roman" w:hAnsi="Times New Roman" w:cs="Times New Roman"/>
          <w:b/>
        </w:rPr>
      </w:pPr>
    </w:p>
    <w:p w14:paraId="6D8ACBCA" w14:textId="77777777" w:rsidR="004F2575" w:rsidRPr="004F2575" w:rsidRDefault="004F2575" w:rsidP="004F2575">
      <w:pPr>
        <w:jc w:val="center"/>
        <w:rPr>
          <w:rFonts w:ascii="Times New Roman" w:eastAsia="Times New Roman" w:hAnsi="Times New Roman" w:cs="Times New Roman"/>
          <w:b/>
        </w:rPr>
      </w:pPr>
    </w:p>
    <w:p w14:paraId="00B8FF1F" w14:textId="77777777" w:rsidR="004F2575" w:rsidRPr="004F2575" w:rsidRDefault="004F2575" w:rsidP="004F2575">
      <w:pPr>
        <w:ind w:firstLine="720"/>
        <w:rPr>
          <w:rFonts w:ascii="Times New Roman" w:eastAsia="Times New Roman" w:hAnsi="Times New Roman" w:cs="Times New Roman"/>
          <w:kern w:val="2"/>
        </w:rPr>
      </w:pPr>
      <w:r w:rsidRPr="004F2575">
        <w:rPr>
          <w:rFonts w:ascii="Times New Roman" w:eastAsia="Times New Roman" w:hAnsi="Times New Roman" w:cs="Times New Roman"/>
          <w:kern w:val="2"/>
        </w:rPr>
        <w:t>AUTHORITY NOTE:</w:t>
      </w:r>
      <w:r w:rsidRPr="004F2575">
        <w:rPr>
          <w:rFonts w:ascii="Times New Roman" w:eastAsia="Times New Roman" w:hAnsi="Times New Roman" w:cs="Times New Roman"/>
          <w:kern w:val="2"/>
        </w:rPr>
        <w:tab/>
      </w:r>
      <w:r w:rsidRPr="004F2575">
        <w:rPr>
          <w:rFonts w:ascii="Times New Roman" w:eastAsia="Times New Roman" w:hAnsi="Times New Roman" w:cs="Times New Roman"/>
          <w:kern w:val="2"/>
        </w:rPr>
        <w:tab/>
        <w:t>Promulgated in accordance with R.S. 30:2180 et seq.</w:t>
      </w:r>
    </w:p>
    <w:p w14:paraId="541FE9C1" w14:textId="77777777" w:rsidR="004F2575" w:rsidRPr="004F2575" w:rsidRDefault="004F2575" w:rsidP="004F2575">
      <w:pPr>
        <w:widowControl w:val="0"/>
        <w:ind w:firstLine="720"/>
        <w:jc w:val="both"/>
        <w:rPr>
          <w:rFonts w:ascii="Times New Roman" w:eastAsia="Times New Roman" w:hAnsi="Times New Roman" w:cs="Times New Roman"/>
          <w:kern w:val="2"/>
        </w:rPr>
      </w:pPr>
      <w:r w:rsidRPr="004F2575">
        <w:rPr>
          <w:rFonts w:ascii="Times New Roman" w:eastAsia="Times New Roman" w:hAnsi="Times New Roman" w:cs="Times New Roman"/>
          <w:kern w:val="2"/>
        </w:rPr>
        <w:t>HISTORICAL NOTE:</w:t>
      </w:r>
      <w:r w:rsidRPr="004F2575">
        <w:rPr>
          <w:rFonts w:ascii="Times New Roman" w:eastAsia="Times New Roman" w:hAnsi="Times New Roman" w:cs="Times New Roman"/>
          <w:kern w:val="2"/>
        </w:rPr>
        <w:tab/>
        <w:t xml:space="preserve">Promulgated by the Department of Environmental Quality, LR 20:1000 (September 1994), amended by the Office of Solid and Hazardous Waste, Hazardous Waste Division, LR 21:944 (September 1995), LR 22:830 (September 1996), amended by the </w:t>
      </w:r>
      <w:r w:rsidRPr="004F2575">
        <w:rPr>
          <w:rFonts w:ascii="Times New Roman" w:eastAsia="Times New Roman" w:hAnsi="Times New Roman" w:cs="Times New Roman"/>
          <w:kern w:val="2"/>
        </w:rPr>
        <w:lastRenderedPageBreak/>
        <w:t>Office of Waste Services, Hazardous Waste Division, LR 23:952 (August 1997), amended by the Office of Environmental Assessment, Environmental Planning Division, LR 25:2397 (December 1999), LR 26:2509 (November 2000), LR 29:1084 (July 2003), promulgated LR 29:1475 (August 2003), amended by the Office of Environmental Assessment, LR 30:2464 (November 2004), amended by the Office of the Secretary, Legal Affairs Division, LR 33:445 (March 2007), LR 33:825 (May 2007), LR 33:1016 (June 2007), LR 34:73 (January 2008), LR 34:1021 (June 2008), LR 34:1613 (August 2008), amended by the Office of the Secretary, Legal Division, LR 38:2757 (November 2012), LR 40:1692 (September 2014), LR 42:2179 (December 2016), LR 43:1149 (June 2017), amended by the Office of the Secretary, Legal Affairs and Criminal Investigations Division, LR 43:2139 (November 2017), amended by the Office of the Secretary, Legal Affairs Division, LR 49:59 (January 2023), LR 51:</w:t>
      </w:r>
    </w:p>
    <w:p w14:paraId="0C34A874" w14:textId="77777777" w:rsidR="004F2575" w:rsidRDefault="004F2575" w:rsidP="004F6187">
      <w:pPr>
        <w:pStyle w:val="WPNormal"/>
        <w:tabs>
          <w:tab w:val="left" w:pos="-720"/>
          <w:tab w:val="left" w:pos="0"/>
          <w:tab w:val="left" w:pos="720"/>
          <w:tab w:val="left" w:pos="1440"/>
          <w:tab w:val="left" w:pos="2160"/>
          <w:tab w:val="left" w:pos="2880"/>
        </w:tabs>
        <w:jc w:val="center"/>
        <w:rPr>
          <w:rFonts w:ascii="Palatino" w:hAnsi="Palatino"/>
          <w:b/>
          <w:sz w:val="20"/>
        </w:rPr>
      </w:pPr>
    </w:p>
    <w:p w14:paraId="149DA78F" w14:textId="77777777" w:rsidR="004F2575" w:rsidRDefault="004F2575" w:rsidP="004F6187">
      <w:pPr>
        <w:pStyle w:val="WPNormal"/>
        <w:tabs>
          <w:tab w:val="left" w:pos="-720"/>
          <w:tab w:val="left" w:pos="0"/>
          <w:tab w:val="left" w:pos="720"/>
          <w:tab w:val="left" w:pos="1440"/>
          <w:tab w:val="left" w:pos="2160"/>
          <w:tab w:val="left" w:pos="2880"/>
        </w:tabs>
        <w:jc w:val="center"/>
        <w:rPr>
          <w:rFonts w:ascii="Palatino" w:hAnsi="Palatino"/>
          <w:b/>
          <w:sz w:val="20"/>
        </w:rPr>
      </w:pPr>
      <w:bookmarkStart w:id="3" w:name="_GoBack"/>
      <w:bookmarkEnd w:id="3"/>
    </w:p>
    <w:sectPr w:rsidR="004F2575" w:rsidSect="004F25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B7957" w14:textId="77777777" w:rsidR="003C718C" w:rsidRDefault="003C718C" w:rsidP="008C4A02">
      <w:r>
        <w:separator/>
      </w:r>
    </w:p>
  </w:endnote>
  <w:endnote w:type="continuationSeparator" w:id="0">
    <w:p w14:paraId="38095DF0" w14:textId="77777777" w:rsidR="003C718C" w:rsidRDefault="003C718C"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09A28" w14:textId="77777777" w:rsidR="003C718C" w:rsidRDefault="003C718C" w:rsidP="008C4A02">
      <w:r>
        <w:separator/>
      </w:r>
    </w:p>
  </w:footnote>
  <w:footnote w:type="continuationSeparator" w:id="0">
    <w:p w14:paraId="09419060" w14:textId="77777777" w:rsidR="003C718C" w:rsidRDefault="003C718C"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8C6"/>
    <w:multiLevelType w:val="hybridMultilevel"/>
    <w:tmpl w:val="7FDEE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E7BA5"/>
    <w:multiLevelType w:val="hybridMultilevel"/>
    <w:tmpl w:val="765E8C06"/>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411B2"/>
    <w:rsid w:val="000655A1"/>
    <w:rsid w:val="00082CD2"/>
    <w:rsid w:val="000A54CA"/>
    <w:rsid w:val="000A56B9"/>
    <w:rsid w:val="000B3B46"/>
    <w:rsid w:val="000D3189"/>
    <w:rsid w:val="00111C2F"/>
    <w:rsid w:val="001649FC"/>
    <w:rsid w:val="00174092"/>
    <w:rsid w:val="00194E78"/>
    <w:rsid w:val="001C0FD8"/>
    <w:rsid w:val="001C6C76"/>
    <w:rsid w:val="001D61C1"/>
    <w:rsid w:val="00234026"/>
    <w:rsid w:val="00257C5A"/>
    <w:rsid w:val="00274AF6"/>
    <w:rsid w:val="00277444"/>
    <w:rsid w:val="002814AF"/>
    <w:rsid w:val="00287A7E"/>
    <w:rsid w:val="00295C86"/>
    <w:rsid w:val="002F4777"/>
    <w:rsid w:val="00316ACA"/>
    <w:rsid w:val="0031758E"/>
    <w:rsid w:val="0032510E"/>
    <w:rsid w:val="00333AA7"/>
    <w:rsid w:val="003455EA"/>
    <w:rsid w:val="00350DE1"/>
    <w:rsid w:val="00355605"/>
    <w:rsid w:val="00364C01"/>
    <w:rsid w:val="00374F14"/>
    <w:rsid w:val="0038483E"/>
    <w:rsid w:val="003864DD"/>
    <w:rsid w:val="003A2194"/>
    <w:rsid w:val="003C539D"/>
    <w:rsid w:val="003C6B97"/>
    <w:rsid w:val="003C6C91"/>
    <w:rsid w:val="003C718C"/>
    <w:rsid w:val="00400496"/>
    <w:rsid w:val="00402F99"/>
    <w:rsid w:val="0041055E"/>
    <w:rsid w:val="00424848"/>
    <w:rsid w:val="00442C75"/>
    <w:rsid w:val="00456F66"/>
    <w:rsid w:val="004815F6"/>
    <w:rsid w:val="00485F66"/>
    <w:rsid w:val="00493842"/>
    <w:rsid w:val="00495EEF"/>
    <w:rsid w:val="004C78CD"/>
    <w:rsid w:val="004F2575"/>
    <w:rsid w:val="004F38F3"/>
    <w:rsid w:val="004F6187"/>
    <w:rsid w:val="00563E21"/>
    <w:rsid w:val="00570C55"/>
    <w:rsid w:val="00595724"/>
    <w:rsid w:val="005B49F9"/>
    <w:rsid w:val="005C5CFF"/>
    <w:rsid w:val="006146CE"/>
    <w:rsid w:val="00625862"/>
    <w:rsid w:val="006626D3"/>
    <w:rsid w:val="00671624"/>
    <w:rsid w:val="00680EAE"/>
    <w:rsid w:val="00686BBB"/>
    <w:rsid w:val="006C09FF"/>
    <w:rsid w:val="006C1C27"/>
    <w:rsid w:val="007203E0"/>
    <w:rsid w:val="007244D8"/>
    <w:rsid w:val="007A3071"/>
    <w:rsid w:val="007E34EE"/>
    <w:rsid w:val="007F4BE6"/>
    <w:rsid w:val="00804B16"/>
    <w:rsid w:val="00813611"/>
    <w:rsid w:val="00825FE1"/>
    <w:rsid w:val="00855AE5"/>
    <w:rsid w:val="00876057"/>
    <w:rsid w:val="008A51B3"/>
    <w:rsid w:val="008B6D06"/>
    <w:rsid w:val="008C4A02"/>
    <w:rsid w:val="008E1AC3"/>
    <w:rsid w:val="008E1B30"/>
    <w:rsid w:val="009643F2"/>
    <w:rsid w:val="00971B4D"/>
    <w:rsid w:val="009F6411"/>
    <w:rsid w:val="00A23B71"/>
    <w:rsid w:val="00A46D65"/>
    <w:rsid w:val="00A704CC"/>
    <w:rsid w:val="00A82C43"/>
    <w:rsid w:val="00A90395"/>
    <w:rsid w:val="00AD58F2"/>
    <w:rsid w:val="00AD5943"/>
    <w:rsid w:val="00B14930"/>
    <w:rsid w:val="00B160E2"/>
    <w:rsid w:val="00B37B6D"/>
    <w:rsid w:val="00B60B62"/>
    <w:rsid w:val="00C10B50"/>
    <w:rsid w:val="00C16B18"/>
    <w:rsid w:val="00C46FDC"/>
    <w:rsid w:val="00C8035E"/>
    <w:rsid w:val="00CD6EB2"/>
    <w:rsid w:val="00CE64E5"/>
    <w:rsid w:val="00D00769"/>
    <w:rsid w:val="00D035A9"/>
    <w:rsid w:val="00D26A97"/>
    <w:rsid w:val="00D4072C"/>
    <w:rsid w:val="00D42DCA"/>
    <w:rsid w:val="00D5398F"/>
    <w:rsid w:val="00D61DD8"/>
    <w:rsid w:val="00D7095D"/>
    <w:rsid w:val="00D82C21"/>
    <w:rsid w:val="00DB1958"/>
    <w:rsid w:val="00DB3172"/>
    <w:rsid w:val="00DC277C"/>
    <w:rsid w:val="00DC3B3F"/>
    <w:rsid w:val="00DE773F"/>
    <w:rsid w:val="00E12B63"/>
    <w:rsid w:val="00E2732A"/>
    <w:rsid w:val="00E5388E"/>
    <w:rsid w:val="00E64426"/>
    <w:rsid w:val="00EB574A"/>
    <w:rsid w:val="00F11475"/>
    <w:rsid w:val="00F15985"/>
    <w:rsid w:val="00F46BBD"/>
    <w:rsid w:val="00F76B4E"/>
    <w:rsid w:val="00FB39D8"/>
    <w:rsid w:val="00FB5841"/>
    <w:rsid w:val="00FC10BC"/>
    <w:rsid w:val="00FC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AC6E"/>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NormalWeb">
    <w:name w:val="Normal (Web)"/>
    <w:basedOn w:val="Normal"/>
    <w:uiPriority w:val="99"/>
    <w:semiHidden/>
    <w:unhideWhenUsed/>
    <w:rsid w:val="00686BBB"/>
    <w:rPr>
      <w:rFonts w:ascii="Times New Roman" w:hAnsi="Times New Roman" w:cs="Times New Roman"/>
    </w:rPr>
  </w:style>
  <w:style w:type="paragraph" w:styleId="BalloonText">
    <w:name w:val="Balloon Text"/>
    <w:basedOn w:val="Normal"/>
    <w:link w:val="BalloonTextChar"/>
    <w:uiPriority w:val="99"/>
    <w:semiHidden/>
    <w:unhideWhenUsed/>
    <w:rsid w:val="00AD5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943"/>
    <w:rPr>
      <w:rFonts w:ascii="Segoe UI" w:hAnsi="Segoe UI" w:cs="Segoe UI"/>
      <w:sz w:val="18"/>
      <w:szCs w:val="18"/>
    </w:rPr>
  </w:style>
  <w:style w:type="paragraph" w:styleId="Revision">
    <w:name w:val="Revision"/>
    <w:hidden/>
    <w:uiPriority w:val="99"/>
    <w:semiHidden/>
    <w:rsid w:val="00D0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25486">
      <w:bodyDiv w:val="1"/>
      <w:marLeft w:val="0"/>
      <w:marRight w:val="0"/>
      <w:marTop w:val="0"/>
      <w:marBottom w:val="0"/>
      <w:divBdr>
        <w:top w:val="none" w:sz="0" w:space="0" w:color="auto"/>
        <w:left w:val="none" w:sz="0" w:space="0" w:color="auto"/>
        <w:bottom w:val="none" w:sz="0" w:space="0" w:color="auto"/>
        <w:right w:val="none" w:sz="0" w:space="0" w:color="auto"/>
      </w:divBdr>
    </w:div>
    <w:div w:id="798258881">
      <w:bodyDiv w:val="1"/>
      <w:marLeft w:val="0"/>
      <w:marRight w:val="0"/>
      <w:marTop w:val="0"/>
      <w:marBottom w:val="0"/>
      <w:divBdr>
        <w:top w:val="none" w:sz="0" w:space="0" w:color="auto"/>
        <w:left w:val="none" w:sz="0" w:space="0" w:color="auto"/>
        <w:bottom w:val="none" w:sz="0" w:space="0" w:color="auto"/>
        <w:right w:val="none" w:sz="0" w:space="0" w:color="auto"/>
      </w:divBdr>
    </w:div>
    <w:div w:id="167059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FA6B9-7F89-4F31-B0AF-DA319FEA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Laura Almond</cp:lastModifiedBy>
  <cp:revision>2</cp:revision>
  <cp:lastPrinted>2025-09-25T19:05:00Z</cp:lastPrinted>
  <dcterms:created xsi:type="dcterms:W3CDTF">2026-01-08T19:15:00Z</dcterms:created>
  <dcterms:modified xsi:type="dcterms:W3CDTF">2026-01-08T19:15:00Z</dcterms:modified>
</cp:coreProperties>
</file>