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C618E" w14:textId="3189B85A" w:rsidR="00326E64" w:rsidRPr="00326E64" w:rsidRDefault="00326E64" w:rsidP="00326E64">
      <w:pPr>
        <w:jc w:val="center"/>
        <w:rPr>
          <w:rFonts w:ascii="Times New Roman" w:eastAsia="Calibri" w:hAnsi="Times New Roman" w:cs="Times New Roman"/>
          <w:b/>
        </w:rPr>
      </w:pPr>
      <w:bookmarkStart w:id="0" w:name="TOC_Chap271"/>
      <w:bookmarkStart w:id="1" w:name="_Toc483475154"/>
      <w:r w:rsidRPr="00326E64">
        <w:rPr>
          <w:rFonts w:ascii="Times New Roman" w:eastAsia="Calibri" w:hAnsi="Times New Roman" w:cs="Times New Roman"/>
          <w:b/>
        </w:rPr>
        <w:t>Title 33</w:t>
      </w:r>
    </w:p>
    <w:p w14:paraId="35D7567C" w14:textId="77777777" w:rsidR="00326E64" w:rsidRPr="00326E64" w:rsidRDefault="00326E64" w:rsidP="00326E64">
      <w:pPr>
        <w:jc w:val="center"/>
        <w:rPr>
          <w:rFonts w:ascii="Times New Roman" w:eastAsia="Calibri" w:hAnsi="Times New Roman" w:cs="Times New Roman"/>
          <w:b/>
        </w:rPr>
      </w:pPr>
      <w:r w:rsidRPr="00326E64">
        <w:rPr>
          <w:rFonts w:ascii="Times New Roman" w:eastAsia="Calibri" w:hAnsi="Times New Roman" w:cs="Times New Roman"/>
          <w:b/>
        </w:rPr>
        <w:t>ENVIRONMENTAL QUALITY</w:t>
      </w:r>
    </w:p>
    <w:p w14:paraId="211D9AFB" w14:textId="77777777" w:rsidR="00326E64" w:rsidRPr="00326E64" w:rsidRDefault="00326E64" w:rsidP="00326E64">
      <w:pPr>
        <w:jc w:val="center"/>
        <w:rPr>
          <w:rFonts w:ascii="Times New Roman" w:eastAsia="Calibri" w:hAnsi="Times New Roman" w:cs="Times New Roman"/>
          <w:b/>
        </w:rPr>
      </w:pPr>
      <w:r w:rsidRPr="00326E64">
        <w:rPr>
          <w:rFonts w:ascii="Times New Roman" w:eastAsia="Calibri" w:hAnsi="Times New Roman" w:cs="Times New Roman"/>
          <w:b/>
        </w:rPr>
        <w:t>Part IX. Water Quality</w:t>
      </w:r>
    </w:p>
    <w:p w14:paraId="07CF510D" w14:textId="77777777" w:rsidR="00326E64" w:rsidRPr="00326E64" w:rsidRDefault="00326E64" w:rsidP="00326E64">
      <w:pPr>
        <w:jc w:val="center"/>
        <w:rPr>
          <w:rFonts w:ascii="Times New Roman" w:eastAsia="Calibri" w:hAnsi="Times New Roman" w:cs="Times New Roman"/>
          <w:b/>
        </w:rPr>
      </w:pPr>
      <w:r w:rsidRPr="00326E64">
        <w:rPr>
          <w:rFonts w:ascii="Times New Roman" w:eastAsia="Calibri" w:hAnsi="Times New Roman" w:cs="Times New Roman"/>
          <w:b/>
        </w:rPr>
        <w:t>Subpart 3.  Louisiana Sewage Sludge and Biosolids Program</w:t>
      </w:r>
    </w:p>
    <w:p w14:paraId="3765063D" w14:textId="77777777" w:rsidR="00326E64" w:rsidRPr="00326E64" w:rsidRDefault="00326E64" w:rsidP="00326E64">
      <w:pPr>
        <w:rPr>
          <w:rFonts w:ascii="Times New Roman" w:eastAsia="Calibri" w:hAnsi="Times New Roman" w:cs="Times New Roman"/>
          <w:b/>
        </w:rPr>
      </w:pPr>
      <w:r w:rsidRPr="00326E64">
        <w:rPr>
          <w:rFonts w:ascii="Times New Roman" w:eastAsia="Calibri" w:hAnsi="Times New Roman" w:cs="Times New Roman"/>
          <w:b/>
        </w:rPr>
        <w:t xml:space="preserve"> </w:t>
      </w:r>
    </w:p>
    <w:p w14:paraId="39AD1393"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rPr>
        <w:t>Chapter 73.</w:t>
      </w:r>
      <w:bookmarkEnd w:id="0"/>
      <w:r w:rsidRPr="00326E64">
        <w:rPr>
          <w:rFonts w:ascii="Times New Roman" w:eastAsia="Calibri" w:hAnsi="Times New Roman" w:cs="Times New Roman"/>
          <w:b/>
        </w:rPr>
        <w:t xml:space="preserve">  </w:t>
      </w:r>
      <w:bookmarkStart w:id="2" w:name="TOCT_Chap271"/>
      <w:r w:rsidRPr="00326E64">
        <w:rPr>
          <w:rFonts w:ascii="Times New Roman" w:eastAsia="Calibri" w:hAnsi="Times New Roman" w:cs="Times New Roman"/>
          <w:b/>
        </w:rPr>
        <w:t xml:space="preserve">Standards for the Use or Disposal of Sewage Sludge and Biosolids </w:t>
      </w:r>
      <w:r w:rsidRPr="00326E64">
        <w:rPr>
          <w:rFonts w:ascii="Times New Roman" w:eastAsia="Calibri" w:hAnsi="Times New Roman" w:cs="Times New Roman"/>
          <w:b/>
          <w:strike/>
        </w:rPr>
        <w:t>[Formerly Chapter 69]</w:t>
      </w:r>
      <w:bookmarkEnd w:id="1"/>
      <w:bookmarkEnd w:id="2"/>
    </w:p>
    <w:p w14:paraId="3FD4B7D5" w14:textId="77777777" w:rsidR="00326E64" w:rsidRPr="00326E64" w:rsidRDefault="00326E64" w:rsidP="00326E64">
      <w:pPr>
        <w:spacing w:line="480" w:lineRule="auto"/>
        <w:rPr>
          <w:rFonts w:ascii="Times New Roman" w:eastAsia="Calibri" w:hAnsi="Times New Roman" w:cs="Times New Roman"/>
          <w:b/>
        </w:rPr>
      </w:pPr>
      <w:bookmarkStart w:id="3" w:name="TOC_SubC272"/>
      <w:bookmarkStart w:id="4" w:name="_Toc483475155"/>
      <w:r w:rsidRPr="00326E64">
        <w:rPr>
          <w:rFonts w:ascii="Times New Roman" w:eastAsia="Calibri" w:hAnsi="Times New Roman" w:cs="Times New Roman"/>
          <w:b/>
        </w:rPr>
        <w:t>Subchapter A.</w:t>
      </w:r>
      <w:bookmarkEnd w:id="3"/>
      <w:r w:rsidRPr="00326E64">
        <w:rPr>
          <w:rFonts w:ascii="Times New Roman" w:eastAsia="Calibri" w:hAnsi="Times New Roman" w:cs="Times New Roman"/>
          <w:b/>
        </w:rPr>
        <w:t xml:space="preserve">  </w:t>
      </w:r>
      <w:bookmarkStart w:id="5" w:name="TOCT_SubC272"/>
      <w:r w:rsidRPr="00326E64">
        <w:rPr>
          <w:rFonts w:ascii="Times New Roman" w:eastAsia="Calibri" w:hAnsi="Times New Roman" w:cs="Times New Roman"/>
          <w:b/>
        </w:rPr>
        <w:t>Program Requirements</w:t>
      </w:r>
      <w:bookmarkEnd w:id="4"/>
      <w:bookmarkEnd w:id="5"/>
    </w:p>
    <w:p w14:paraId="5E9D4084" w14:textId="77777777" w:rsidR="00326E64" w:rsidRPr="00326E64" w:rsidRDefault="00326E64" w:rsidP="00326E64">
      <w:pPr>
        <w:spacing w:line="480" w:lineRule="auto"/>
        <w:rPr>
          <w:rFonts w:ascii="Times New Roman" w:eastAsia="Calibri" w:hAnsi="Times New Roman" w:cs="Times New Roman"/>
          <w:b/>
        </w:rPr>
      </w:pPr>
      <w:bookmarkStart w:id="6" w:name="_Toc483475156"/>
      <w:bookmarkStart w:id="7" w:name="TOC_Sect584"/>
      <w:r w:rsidRPr="00326E64">
        <w:rPr>
          <w:rFonts w:ascii="Times New Roman" w:eastAsia="Calibri" w:hAnsi="Times New Roman" w:cs="Times New Roman"/>
          <w:b/>
        </w:rPr>
        <w:t>§7301.</w:t>
      </w:r>
      <w:r w:rsidRPr="00326E64">
        <w:rPr>
          <w:rFonts w:ascii="Times New Roman" w:eastAsia="Calibri" w:hAnsi="Times New Roman" w:cs="Times New Roman"/>
          <w:b/>
        </w:rPr>
        <w:tab/>
        <w:t>General Provisions</w:t>
      </w:r>
      <w:bookmarkStart w:id="8" w:name="OLE_LINK3"/>
      <w:bookmarkStart w:id="9" w:name="OLE_LINK4"/>
      <w:r w:rsidRPr="00326E64">
        <w:rPr>
          <w:rFonts w:ascii="Times New Roman" w:eastAsia="Calibri" w:hAnsi="Times New Roman" w:cs="Times New Roman"/>
          <w:b/>
          <w:strike/>
        </w:rPr>
        <w:t xml:space="preserve"> [Formerly §6901]</w:t>
      </w:r>
      <w:bookmarkEnd w:id="6"/>
      <w:bookmarkEnd w:id="7"/>
    </w:p>
    <w:bookmarkEnd w:id="8"/>
    <w:bookmarkEnd w:id="9"/>
    <w:p w14:paraId="51C0F57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t>A. — A.1.b.ii.</w:t>
      </w:r>
      <w:r w:rsidRPr="00326E64">
        <w:rPr>
          <w:rFonts w:ascii="Times New Roman" w:eastAsia="Calibri" w:hAnsi="Times New Roman" w:cs="Times New Roman"/>
        </w:rPr>
        <w:tab/>
      </w:r>
      <w:r w:rsidRPr="00326E64">
        <w:rPr>
          <w:rFonts w:ascii="Times New Roman" w:eastAsia="Calibri" w:hAnsi="Times New Roman" w:cs="Times New Roman"/>
        </w:rPr>
        <w:tab/>
        <w:t>…</w:t>
      </w:r>
    </w:p>
    <w:p w14:paraId="7296F86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iii.</w:t>
      </w:r>
      <w:r w:rsidRPr="00326E64">
        <w:rPr>
          <w:rFonts w:ascii="Times New Roman" w:eastAsia="Calibri" w:hAnsi="Times New Roman" w:cs="Times New Roman"/>
        </w:rPr>
        <w:tab/>
        <w:t xml:space="preserve">the siting, </w:t>
      </w:r>
      <w:r w:rsidRPr="00326E64">
        <w:rPr>
          <w:rFonts w:ascii="Times New Roman" w:eastAsia="Calibri" w:hAnsi="Times New Roman" w:cs="Times New Roman"/>
          <w:u w:val="single"/>
        </w:rPr>
        <w:t xml:space="preserve">and </w:t>
      </w:r>
      <w:r w:rsidRPr="00326E64">
        <w:rPr>
          <w:rFonts w:ascii="Times New Roman" w:eastAsia="Calibri" w:hAnsi="Times New Roman" w:cs="Times New Roman"/>
        </w:rPr>
        <w:t>operation</w:t>
      </w:r>
      <w:r w:rsidRPr="00326E64">
        <w:rPr>
          <w:rFonts w:ascii="Times New Roman" w:eastAsia="Calibri" w:hAnsi="Times New Roman" w:cs="Times New Roman"/>
          <w:strike/>
        </w:rPr>
        <w:t>, and financial assurance</w:t>
      </w:r>
      <w:r w:rsidRPr="00326E64">
        <w:rPr>
          <w:rFonts w:ascii="Times New Roman" w:eastAsia="Calibri" w:hAnsi="Times New Roman" w:cs="Times New Roman"/>
        </w:rPr>
        <w:t xml:space="preserve"> requirements for commercial preparers of sewage sludge or land appliers of biosolids; and</w:t>
      </w:r>
    </w:p>
    <w:p w14:paraId="24C47D82" w14:textId="77777777" w:rsidR="00326E64" w:rsidRPr="00326E64" w:rsidRDefault="00326E64" w:rsidP="00326E64">
      <w:pPr>
        <w:spacing w:line="480" w:lineRule="auto"/>
        <w:rPr>
          <w:rFonts w:ascii="Times New Roman" w:eastAsia="Calibri" w:hAnsi="Times New Roman" w:cs="Times New Roman"/>
        </w:rPr>
      </w:pPr>
      <w:r w:rsidRPr="00326E64">
        <w:rPr>
          <w:rFonts w:ascii="Calibri" w:eastAsia="Calibri" w:hAnsi="Calibri" w:cs="Times New Roman"/>
          <w:sz w:val="22"/>
          <w:szCs w:val="22"/>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iv. — A.</w:t>
      </w:r>
      <w:r w:rsidRPr="00326E64">
        <w:rPr>
          <w:rFonts w:ascii="Times New Roman" w:eastAsia="Times New Roman" w:hAnsi="Times New Roman" w:cs="Times New Roman"/>
          <w:kern w:val="2"/>
        </w:rPr>
        <w:t>2.b.iii.</w:t>
      </w:r>
      <w:r w:rsidRPr="00326E64">
        <w:rPr>
          <w:rFonts w:ascii="Times New Roman" w:eastAsia="Times New Roman" w:hAnsi="Times New Roman" w:cs="Times New Roman"/>
          <w:kern w:val="2"/>
        </w:rPr>
        <w:tab/>
      </w:r>
      <w:r w:rsidRPr="00326E64">
        <w:rPr>
          <w:rFonts w:ascii="Times New Roman" w:eastAsia="Calibri" w:hAnsi="Times New Roman" w:cs="Times New Roman"/>
        </w:rPr>
        <w:t>…</w:t>
      </w:r>
    </w:p>
    <w:p w14:paraId="210FA1E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t>B.</w:t>
      </w:r>
      <w:r w:rsidRPr="00326E64">
        <w:rPr>
          <w:rFonts w:ascii="Times New Roman" w:eastAsia="Calibri" w:hAnsi="Times New Roman" w:cs="Times New Roman"/>
        </w:rPr>
        <w:tab/>
        <w:t>General Definitions</w:t>
      </w:r>
      <w:r w:rsidRPr="00326E64">
        <w:rPr>
          <w:rFonts w:ascii="Times New Roman" w:eastAsia="Calibri" w:hAnsi="Times New Roman" w:cs="Times New Roman"/>
          <w:strike/>
        </w:rPr>
        <w:t>.</w:t>
      </w:r>
    </w:p>
    <w:p w14:paraId="6FC2947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1.</w:t>
      </w:r>
      <w:r w:rsidRPr="00326E64">
        <w:rPr>
          <w:rFonts w:ascii="Times New Roman" w:eastAsia="Calibri" w:hAnsi="Times New Roman" w:cs="Times New Roman"/>
        </w:rPr>
        <w:tab/>
        <w:t>The following terms used in this Chapter shall have the meanings listed below, unless the context clearly indicates otherwise, or the term is specifically redefined in a particular Section.</w:t>
      </w:r>
    </w:p>
    <w:p w14:paraId="16C6CE56" w14:textId="77777777" w:rsidR="00326E64" w:rsidRPr="00326E64" w:rsidRDefault="00326E64" w:rsidP="00326E64">
      <w:pPr>
        <w:spacing w:line="480" w:lineRule="auto"/>
        <w:jc w:val="center"/>
        <w:rPr>
          <w:rFonts w:ascii="Times New Roman" w:eastAsia="Calibri" w:hAnsi="Times New Roman" w:cs="Times New Roman"/>
        </w:rPr>
      </w:pPr>
      <w:r w:rsidRPr="00326E64">
        <w:rPr>
          <w:rFonts w:ascii="Times New Roman" w:eastAsia="Calibri" w:hAnsi="Times New Roman" w:cs="Times New Roman"/>
        </w:rPr>
        <w:t>* * *</w:t>
      </w:r>
    </w:p>
    <w:p w14:paraId="63E66DC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i/>
        </w:rPr>
        <w:t>Biosolids</w:t>
      </w:r>
      <w:r w:rsidRPr="00326E64">
        <w:rPr>
          <w:rFonts w:ascii="Times New Roman" w:eastAsia="Calibri" w:hAnsi="Times New Roman" w:cs="Times New Roman"/>
        </w:rPr>
        <w:t>―sewage sludge, or material derived from sewage sludge, that is nonhazardous, has a PCB concentration of less than 50 mg/kg of total solids (dry weight), and is prepared to meet one of the pollutant requirements of LAC 33:IX.7303.</w:t>
      </w:r>
      <w:r w:rsidRPr="00326E64">
        <w:rPr>
          <w:rFonts w:ascii="Times New Roman" w:eastAsia="Calibri" w:hAnsi="Times New Roman" w:cs="Times New Roman"/>
          <w:strike/>
        </w:rPr>
        <w:t>E</w:t>
      </w:r>
      <w:r w:rsidRPr="00326E64">
        <w:rPr>
          <w:rFonts w:ascii="Times New Roman" w:eastAsia="Calibri" w:hAnsi="Times New Roman" w:cs="Times New Roman"/>
          <w:u w:val="single"/>
        </w:rPr>
        <w:t>C.2.a or E.1.c</w:t>
      </w:r>
      <w:r w:rsidRPr="00326E64">
        <w:rPr>
          <w:rFonts w:ascii="Times New Roman" w:eastAsia="Calibri" w:hAnsi="Times New Roman" w:cs="Times New Roman"/>
        </w:rPr>
        <w:t>, one of the pathogen requirements in LAC 33:IX.7309.C, and one of the vector attraction reduction requirements in LAC 33:IX.7309.</w:t>
      </w:r>
      <w:r w:rsidRPr="00326E64">
        <w:rPr>
          <w:rFonts w:ascii="Times New Roman" w:eastAsia="Calibri" w:hAnsi="Times New Roman" w:cs="Times New Roman"/>
          <w:strike/>
        </w:rPr>
        <w:t>D</w:t>
      </w:r>
      <w:r w:rsidRPr="00326E64">
        <w:rPr>
          <w:rFonts w:ascii="Times New Roman" w:eastAsia="Calibri" w:hAnsi="Times New Roman" w:cs="Times New Roman"/>
          <w:u w:val="single"/>
        </w:rPr>
        <w:t>E</w:t>
      </w:r>
      <w:r w:rsidRPr="00326E64">
        <w:rPr>
          <w:rFonts w:ascii="Times New Roman" w:eastAsia="Calibri" w:hAnsi="Times New Roman" w:cs="Times New Roman"/>
        </w:rPr>
        <w:t>.</w:t>
      </w:r>
    </w:p>
    <w:p w14:paraId="1A0DDEB5" w14:textId="77777777" w:rsidR="00326E64" w:rsidRPr="00326E64" w:rsidRDefault="00326E64" w:rsidP="00326E64">
      <w:pPr>
        <w:spacing w:line="480" w:lineRule="auto"/>
        <w:jc w:val="center"/>
        <w:rPr>
          <w:rFonts w:ascii="Times New Roman" w:eastAsia="Calibri" w:hAnsi="Times New Roman" w:cs="Times New Roman"/>
        </w:rPr>
      </w:pPr>
      <w:r w:rsidRPr="00326E64">
        <w:rPr>
          <w:rFonts w:ascii="Times New Roman" w:eastAsia="Calibri" w:hAnsi="Times New Roman" w:cs="Times New Roman"/>
        </w:rPr>
        <w:t>* * *</w:t>
      </w:r>
    </w:p>
    <w:p w14:paraId="21258BD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i/>
        </w:rPr>
        <w:t>Class B Biosolids</w:t>
      </w:r>
      <w:r w:rsidRPr="00326E64">
        <w:rPr>
          <w:rFonts w:ascii="Times New Roman" w:eastAsia="Calibri" w:hAnsi="Times New Roman" w:cs="Times New Roman"/>
        </w:rPr>
        <w:t>―biosolids that do not meet one or more of the following requirements:</w:t>
      </w:r>
    </w:p>
    <w:p w14:paraId="38717E0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u w:val="single"/>
        </w:rPr>
        <w:t>i</w:t>
      </w:r>
      <w:r w:rsidRPr="00326E64">
        <w:rPr>
          <w:rFonts w:ascii="Times New Roman" w:eastAsia="Calibri" w:hAnsi="Times New Roman" w:cs="Times New Roman"/>
        </w:rPr>
        <w:t>.</w:t>
      </w:r>
      <w:r w:rsidRPr="00326E64">
        <w:rPr>
          <w:rFonts w:ascii="Times New Roman" w:eastAsia="Calibri" w:hAnsi="Times New Roman" w:cs="Times New Roman"/>
        </w:rPr>
        <w:tab/>
        <w:t>the pollutant concentrations in Table 3 of LAC 33:IX.7303.</w:t>
      </w:r>
      <w:r w:rsidRPr="00326E64">
        <w:rPr>
          <w:rFonts w:ascii="Times New Roman" w:eastAsia="Calibri" w:hAnsi="Times New Roman" w:cs="Times New Roman"/>
          <w:strike/>
        </w:rPr>
        <w:t>E</w:t>
      </w:r>
      <w:r w:rsidRPr="00326E64">
        <w:rPr>
          <w:rFonts w:ascii="Times New Roman" w:eastAsia="Calibri" w:hAnsi="Times New Roman" w:cs="Times New Roman"/>
          <w:u w:val="single"/>
        </w:rPr>
        <w:t>F</w:t>
      </w:r>
      <w:r w:rsidRPr="00326E64">
        <w:rPr>
          <w:rFonts w:ascii="Times New Roman" w:eastAsia="Calibri" w:hAnsi="Times New Roman" w:cs="Times New Roman"/>
        </w:rPr>
        <w:t>;</w:t>
      </w:r>
    </w:p>
    <w:p w14:paraId="74FCE01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u w:val="single"/>
        </w:rPr>
        <w:t>ii</w:t>
      </w:r>
      <w:r w:rsidRPr="00326E64">
        <w:rPr>
          <w:rFonts w:ascii="Times New Roman" w:eastAsia="Calibri" w:hAnsi="Times New Roman" w:cs="Times New Roman"/>
        </w:rPr>
        <w:t>.</w:t>
      </w:r>
      <w:r w:rsidRPr="00326E64">
        <w:rPr>
          <w:rFonts w:ascii="Times New Roman" w:eastAsia="Calibri" w:hAnsi="Times New Roman" w:cs="Times New Roman"/>
        </w:rPr>
        <w:tab/>
        <w:t>the pathogen requirements in LAC 33:IX.7309.C.1;</w:t>
      </w:r>
    </w:p>
    <w:p w14:paraId="242D640A"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u w:val="single"/>
        </w:rPr>
        <w:t>iii</w:t>
      </w:r>
      <w:r w:rsidRPr="00326E64">
        <w:rPr>
          <w:rFonts w:ascii="Times New Roman" w:eastAsia="Calibri" w:hAnsi="Times New Roman" w:cs="Times New Roman"/>
        </w:rPr>
        <w:t>.</w:t>
      </w:r>
      <w:r w:rsidRPr="00326E64">
        <w:rPr>
          <w:rFonts w:ascii="Times New Roman" w:eastAsia="Calibri" w:hAnsi="Times New Roman" w:cs="Times New Roman"/>
        </w:rPr>
        <w:tab/>
        <w:t>one of the vector attraction reduction requirements in LAC 33:IX.7309.</w:t>
      </w:r>
      <w:r w:rsidRPr="00326E64">
        <w:rPr>
          <w:rFonts w:ascii="Times New Roman" w:eastAsia="Calibri" w:hAnsi="Times New Roman" w:cs="Times New Roman"/>
          <w:strike/>
        </w:rPr>
        <w:t>D</w:t>
      </w:r>
      <w:r w:rsidRPr="00326E64">
        <w:rPr>
          <w:rFonts w:ascii="Times New Roman" w:eastAsia="Calibri" w:hAnsi="Times New Roman" w:cs="Times New Roman"/>
          <w:u w:val="single"/>
        </w:rPr>
        <w:t>E</w:t>
      </w:r>
      <w:r w:rsidRPr="00326E64">
        <w:rPr>
          <w:rFonts w:ascii="Times New Roman" w:eastAsia="Calibri" w:hAnsi="Times New Roman" w:cs="Times New Roman"/>
        </w:rPr>
        <w:t>.2.a-e; and/or</w:t>
      </w:r>
    </w:p>
    <w:p w14:paraId="7C63A86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u w:val="single"/>
        </w:rPr>
        <w:t>iv</w:t>
      </w:r>
      <w:r w:rsidRPr="00326E64">
        <w:rPr>
          <w:rFonts w:ascii="Times New Roman" w:eastAsia="Calibri" w:hAnsi="Times New Roman" w:cs="Times New Roman"/>
        </w:rPr>
        <w:t>.</w:t>
      </w:r>
      <w:r w:rsidRPr="00326E64">
        <w:rPr>
          <w:rFonts w:ascii="Times New Roman" w:eastAsia="Calibri" w:hAnsi="Times New Roman" w:cs="Times New Roman"/>
        </w:rPr>
        <w:tab/>
        <w:t>a PCB concentration of less than 10 mg/kg of total solids (dry weight basis).</w:t>
      </w:r>
    </w:p>
    <w:p w14:paraId="163F556D" w14:textId="77777777" w:rsidR="00326E64" w:rsidRPr="00326E64" w:rsidRDefault="00326E64" w:rsidP="00326E64">
      <w:pPr>
        <w:spacing w:line="480" w:lineRule="auto"/>
        <w:jc w:val="center"/>
        <w:rPr>
          <w:rFonts w:ascii="Times New Roman" w:eastAsia="Calibri" w:hAnsi="Times New Roman" w:cs="Times New Roman"/>
        </w:rPr>
      </w:pPr>
      <w:r w:rsidRPr="00326E64">
        <w:rPr>
          <w:rFonts w:ascii="Times New Roman" w:eastAsia="Calibri" w:hAnsi="Times New Roman" w:cs="Times New Roman"/>
        </w:rPr>
        <w:t>* * *</w:t>
      </w:r>
    </w:p>
    <w:p w14:paraId="16BCF57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i/>
        </w:rPr>
        <w:t>Exceptional Quality Biosolids</w:t>
      </w:r>
      <w:r w:rsidRPr="00326E64">
        <w:rPr>
          <w:rFonts w:ascii="Times New Roman" w:eastAsia="Calibri" w:hAnsi="Times New Roman" w:cs="Times New Roman"/>
        </w:rPr>
        <w:t>―biosolids that are nonhazardous and meet the ceiling concentrations in Table 1 of LAC 33:IX.7303.</w:t>
      </w:r>
      <w:r w:rsidRPr="00326E64">
        <w:rPr>
          <w:rFonts w:ascii="Times New Roman" w:eastAsia="Calibri" w:hAnsi="Times New Roman" w:cs="Times New Roman"/>
          <w:strike/>
        </w:rPr>
        <w:t>E</w:t>
      </w:r>
      <w:r w:rsidRPr="00326E64">
        <w:rPr>
          <w:rFonts w:ascii="Times New Roman" w:eastAsia="Calibri" w:hAnsi="Times New Roman" w:cs="Times New Roman"/>
          <w:u w:val="single"/>
        </w:rPr>
        <w:t>F</w:t>
      </w:r>
      <w:r w:rsidRPr="00326E64">
        <w:rPr>
          <w:rFonts w:ascii="Times New Roman" w:eastAsia="Calibri" w:hAnsi="Times New Roman" w:cs="Times New Roman"/>
        </w:rPr>
        <w:t>, the pollutant concentrations in Table 3 of LAC 33:IX.7303.</w:t>
      </w:r>
      <w:r w:rsidRPr="00326E64">
        <w:rPr>
          <w:rFonts w:ascii="Times New Roman" w:eastAsia="Calibri" w:hAnsi="Times New Roman" w:cs="Times New Roman"/>
          <w:strike/>
        </w:rPr>
        <w:t>E</w:t>
      </w:r>
      <w:r w:rsidRPr="00326E64">
        <w:rPr>
          <w:rFonts w:ascii="Times New Roman" w:eastAsia="Calibri" w:hAnsi="Times New Roman" w:cs="Times New Roman"/>
          <w:u w:val="single"/>
        </w:rPr>
        <w:t>F</w:t>
      </w:r>
      <w:r w:rsidRPr="00326E64">
        <w:rPr>
          <w:rFonts w:ascii="Times New Roman" w:eastAsia="Calibri" w:hAnsi="Times New Roman" w:cs="Times New Roman"/>
        </w:rPr>
        <w:t>, the pathogen requirements in LAC 33:IX.7309.C.1, and one of the vector attraction reduction requirements in LAC 33:IX.7309.</w:t>
      </w:r>
      <w:r w:rsidRPr="00326E64">
        <w:rPr>
          <w:rFonts w:ascii="Times New Roman" w:eastAsia="Calibri" w:hAnsi="Times New Roman" w:cs="Times New Roman"/>
          <w:strike/>
        </w:rPr>
        <w:t>D</w:t>
      </w:r>
      <w:r w:rsidRPr="00326E64">
        <w:rPr>
          <w:rFonts w:ascii="Times New Roman" w:eastAsia="Calibri" w:hAnsi="Times New Roman" w:cs="Times New Roman"/>
          <w:u w:val="single"/>
        </w:rPr>
        <w:t>E</w:t>
      </w:r>
      <w:r w:rsidRPr="00326E64">
        <w:rPr>
          <w:rFonts w:ascii="Times New Roman" w:eastAsia="Calibri" w:hAnsi="Times New Roman" w:cs="Times New Roman"/>
        </w:rPr>
        <w:t>.2.a-e, and that have a PCB concentration of less than 10 mg/kg of total solids (dry weight).</w:t>
      </w:r>
    </w:p>
    <w:p w14:paraId="6A2198EA" w14:textId="77777777" w:rsidR="00326E64" w:rsidRPr="00326E64" w:rsidRDefault="00326E64" w:rsidP="00326E64">
      <w:pPr>
        <w:spacing w:line="480" w:lineRule="auto"/>
        <w:jc w:val="center"/>
        <w:rPr>
          <w:rFonts w:ascii="Times New Roman" w:eastAsia="Calibri" w:hAnsi="Times New Roman" w:cs="Times New Roman"/>
        </w:rPr>
      </w:pPr>
      <w:r w:rsidRPr="00326E64">
        <w:rPr>
          <w:rFonts w:ascii="Times New Roman" w:eastAsia="Calibri" w:hAnsi="Times New Roman" w:cs="Times New Roman"/>
        </w:rPr>
        <w:t>* * *</w:t>
      </w:r>
    </w:p>
    <w:p w14:paraId="25F43C2D"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i/>
          <w:u w:val="single"/>
        </w:rPr>
        <w:t>Person</w:t>
      </w:r>
      <w:r w:rsidRPr="00326E64">
        <w:rPr>
          <w:rFonts w:ascii="Times New Roman" w:eastAsia="Calibri" w:hAnsi="Times New Roman" w:cs="Times New Roman"/>
          <w:u w:val="single"/>
        </w:rPr>
        <w:t xml:space="preserve">―any individual, municipality, public or private corporation, partnership, firm, the United States Government, and any agent or subdivision thereof, or any other juridical person, which shall include, but not be limited to, trusts, joint stock companies, associations, the state of Louisiana, political subdivisions of the state of Louisiana, commissions, and interstate bodies.  </w:t>
      </w:r>
    </w:p>
    <w:p w14:paraId="25B544CB" w14:textId="77777777" w:rsidR="00326E64" w:rsidRPr="00326E64" w:rsidRDefault="00326E64" w:rsidP="00326E64">
      <w:pPr>
        <w:spacing w:line="480" w:lineRule="auto"/>
        <w:jc w:val="center"/>
        <w:rPr>
          <w:rFonts w:ascii="Times New Roman" w:eastAsia="Calibri" w:hAnsi="Times New Roman" w:cs="Times New Roman"/>
        </w:rPr>
      </w:pPr>
      <w:r w:rsidRPr="00326E64">
        <w:rPr>
          <w:rFonts w:ascii="Times New Roman" w:eastAsia="Calibri" w:hAnsi="Times New Roman" w:cs="Times New Roman"/>
        </w:rPr>
        <w:t>* * *</w:t>
      </w:r>
    </w:p>
    <w:p w14:paraId="361CED4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i/>
          <w:u w:val="single"/>
        </w:rPr>
        <w:t>Sewage Sludge Generator—</w:t>
      </w:r>
      <w:r w:rsidRPr="00326E64">
        <w:rPr>
          <w:rFonts w:ascii="Times New Roman" w:eastAsia="Calibri" w:hAnsi="Times New Roman" w:cs="Times New Roman"/>
          <w:u w:val="single"/>
        </w:rPr>
        <w:t>any person whose act or process produces sewage sludge (as defined in this Section).</w:t>
      </w:r>
    </w:p>
    <w:p w14:paraId="0EC8566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i/>
          <w:u w:val="single"/>
        </w:rPr>
        <w:t>Sewage Sludge Receiving Facility—</w:t>
      </w:r>
      <w:r w:rsidRPr="00326E64">
        <w:rPr>
          <w:rFonts w:ascii="Times New Roman" w:eastAsia="Calibri" w:hAnsi="Times New Roman" w:cs="Times New Roman"/>
          <w:u w:val="single"/>
        </w:rPr>
        <w:t>any facility, public or private, that receives hauled sewage sludge from an authorized sewage sludge transporter.</w:t>
      </w:r>
    </w:p>
    <w:p w14:paraId="36A66B9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i/>
          <w:u w:val="single"/>
        </w:rPr>
        <w:t>Sewage Sludge Transporter—</w:t>
      </w:r>
      <w:r w:rsidRPr="00326E64">
        <w:rPr>
          <w:rFonts w:ascii="Times New Roman" w:eastAsia="Calibri" w:hAnsi="Times New Roman" w:cs="Times New Roman"/>
          <w:u w:val="single"/>
        </w:rPr>
        <w:t>a person who pumps or moves sewage sludge off-site by means of land-based vehicles, barges, ships, rails, pipelines, or other modes of transportation. For oxidation ponds/lagoons/surface impoundments, this includes the removal of the sewage sludge from the oxidation ponds/lagoons/surface impoundments to the levees surrounding the oxidation ponds/lagoons/surface impoundments.</w:t>
      </w:r>
    </w:p>
    <w:p w14:paraId="2979EA47" w14:textId="77777777" w:rsidR="00326E64" w:rsidRPr="00326E64" w:rsidRDefault="00326E64" w:rsidP="00326E64">
      <w:pPr>
        <w:spacing w:line="480" w:lineRule="auto"/>
        <w:jc w:val="center"/>
        <w:rPr>
          <w:rFonts w:ascii="Times New Roman" w:eastAsia="Calibri" w:hAnsi="Times New Roman" w:cs="Times New Roman"/>
        </w:rPr>
      </w:pPr>
      <w:r w:rsidRPr="00326E64">
        <w:rPr>
          <w:rFonts w:ascii="Times New Roman" w:eastAsia="Calibri" w:hAnsi="Times New Roman" w:cs="Times New Roman"/>
        </w:rPr>
        <w:t>* * *</w:t>
      </w:r>
    </w:p>
    <w:p w14:paraId="451D73A5" w14:textId="77777777" w:rsidR="00326E64" w:rsidRPr="00326E64" w:rsidRDefault="00326E64" w:rsidP="00326E64">
      <w:pPr>
        <w:tabs>
          <w:tab w:val="left" w:pos="720"/>
        </w:tabs>
        <w:spacing w:line="480" w:lineRule="auto"/>
        <w:rPr>
          <w:rFonts w:ascii="Times New Roman" w:eastAsia="Calibri" w:hAnsi="Times New Roman" w:cs="Times New Roman"/>
        </w:rPr>
      </w:pPr>
      <w:r w:rsidRPr="00326E64">
        <w:rPr>
          <w:rFonts w:ascii="Times New Roman" w:eastAsia="Calibri" w:hAnsi="Times New Roman" w:cs="Times New Roman"/>
          <w:i/>
        </w:rPr>
        <w:tab/>
      </w:r>
      <w:r w:rsidRPr="00326E64">
        <w:rPr>
          <w:rFonts w:ascii="Times New Roman" w:eastAsia="Calibri" w:hAnsi="Times New Roman" w:cs="Times New Roman"/>
          <w:i/>
        </w:rPr>
        <w:tab/>
      </w:r>
      <w:r w:rsidRPr="00326E64">
        <w:rPr>
          <w:rFonts w:ascii="Times New Roman" w:eastAsia="Calibri" w:hAnsi="Times New Roman" w:cs="Times New Roman"/>
          <w:i/>
        </w:rPr>
        <w:tab/>
        <w:t>Transporter of Sewage Sludge―</w:t>
      </w:r>
      <w:r w:rsidRPr="00326E64">
        <w:rPr>
          <w:rFonts w:ascii="Times New Roman" w:eastAsia="Calibri" w:hAnsi="Times New Roman" w:cs="Times New Roman"/>
          <w:strike/>
        </w:rPr>
        <w:t>a person who pumps or moves sewage sludge off-site by means of land-based vehicles, barges, ships, rails, pipelines, or other modes of transportation. For oxidation ponds/lagoons/surface impoundments, this includes the removal of the sewage sludge from the oxidation ponds/lagoons/surface impoundments to the levees surrounding the oxidation ponds/lagoons/surface impoundments</w:t>
      </w:r>
      <w:r w:rsidRPr="00326E64">
        <w:rPr>
          <w:rFonts w:ascii="Times New Roman" w:eastAsia="Calibri" w:hAnsi="Times New Roman" w:cs="Times New Roman"/>
          <w:u w:val="single"/>
        </w:rPr>
        <w:t>Repealed</w:t>
      </w:r>
      <w:r w:rsidRPr="00326E64">
        <w:rPr>
          <w:rFonts w:ascii="Times New Roman" w:eastAsia="Calibri" w:hAnsi="Times New Roman" w:cs="Times New Roman"/>
        </w:rPr>
        <w:t>.</w:t>
      </w:r>
    </w:p>
    <w:p w14:paraId="15EA5038" w14:textId="77777777" w:rsidR="00326E64" w:rsidRPr="00326E64" w:rsidRDefault="00326E64" w:rsidP="00326E64">
      <w:pPr>
        <w:spacing w:line="480" w:lineRule="auto"/>
        <w:jc w:val="center"/>
        <w:rPr>
          <w:rFonts w:ascii="Times New Roman" w:eastAsia="Calibri" w:hAnsi="Times New Roman" w:cs="Times New Roman"/>
        </w:rPr>
      </w:pPr>
      <w:r w:rsidRPr="00326E64">
        <w:rPr>
          <w:rFonts w:ascii="Times New Roman" w:eastAsia="Calibri" w:hAnsi="Times New Roman" w:cs="Times New Roman"/>
        </w:rPr>
        <w:t>* * *</w:t>
      </w:r>
    </w:p>
    <w:p w14:paraId="59142E9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t>C. — C.1.</w:t>
      </w:r>
      <w:r w:rsidRPr="00326E64">
        <w:rPr>
          <w:rFonts w:ascii="Times New Roman" w:eastAsia="Calibri" w:hAnsi="Times New Roman" w:cs="Times New Roman"/>
        </w:rPr>
        <w:tab/>
        <w:t>…</w:t>
      </w:r>
    </w:p>
    <w:p w14:paraId="764B295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2.</w:t>
      </w:r>
      <w:r w:rsidRPr="00326E64">
        <w:rPr>
          <w:rFonts w:ascii="Times New Roman" w:eastAsia="Calibri" w:hAnsi="Times New Roman" w:cs="Times New Roman"/>
        </w:rPr>
        <w:tab/>
        <w:t>Frequency of Monitoring, Recordkeeping, and Reporting. The requirements for frequency of monitoring, recordkeeping, and reporting in this Chapter for total hydrocarbons in the exit gas from a sewage sludge incinerator are effective February 19, 1994, or if compliance with the operational standard for total hydrocarbons in this Chapter requires the construction of new pollution control facilities, February 19, 1995. All other requirements for frequency of monitoring recordkeeping, and reporting in this Chapter are effective on July 20, 1993.</w:t>
      </w:r>
    </w:p>
    <w:p w14:paraId="3C7D14E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3. — 3.a.</w:t>
      </w:r>
      <w:r w:rsidRPr="00326E64">
        <w:rPr>
          <w:rFonts w:ascii="Times New Roman" w:eastAsia="Calibri" w:hAnsi="Times New Roman" w:cs="Times New Roman"/>
        </w:rPr>
        <w:tab/>
        <w:t>…</w:t>
      </w:r>
    </w:p>
    <w:p w14:paraId="2598450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 xml:space="preserve">Compliance with the requirements in Paragraphs </w:t>
      </w:r>
      <w:r w:rsidRPr="00326E64">
        <w:rPr>
          <w:rFonts w:ascii="Times New Roman" w:eastAsia="Calibri" w:hAnsi="Times New Roman" w:cs="Times New Roman"/>
          <w:u w:val="single"/>
        </w:rPr>
        <w:t>I</w:t>
      </w:r>
      <w:r w:rsidRPr="00326E64">
        <w:rPr>
          <w:rFonts w:ascii="Times New Roman" w:eastAsia="Calibri" w:hAnsi="Times New Roman" w:cs="Times New Roman"/>
          <w:strike/>
        </w:rPr>
        <w:t>G</w:t>
      </w:r>
      <w:r w:rsidRPr="00326E64">
        <w:rPr>
          <w:rFonts w:ascii="Times New Roman" w:eastAsia="Calibri" w:hAnsi="Times New Roman" w:cs="Times New Roman"/>
        </w:rPr>
        <w:t>.2</w:t>
      </w:r>
      <w:r w:rsidRPr="00326E64">
        <w:rPr>
          <w:rFonts w:ascii="Times New Roman" w:eastAsia="Calibri" w:hAnsi="Times New Roman" w:cs="Times New Roman"/>
          <w:u w:val="single"/>
        </w:rPr>
        <w:t>-</w:t>
      </w:r>
      <w:r w:rsidRPr="00326E64">
        <w:rPr>
          <w:rFonts w:ascii="Times New Roman" w:eastAsia="Calibri" w:hAnsi="Times New Roman" w:cs="Times New Roman"/>
          <w:strike/>
        </w:rPr>
        <w:t xml:space="preserve">, 3, and </w:t>
      </w:r>
      <w:r w:rsidRPr="00326E64">
        <w:rPr>
          <w:rFonts w:ascii="Times New Roman" w:eastAsia="Calibri" w:hAnsi="Times New Roman" w:cs="Times New Roman"/>
        </w:rPr>
        <w:t>4 of this Section shall be achieved as follows.</w:t>
      </w:r>
    </w:p>
    <w:p w14:paraId="5D9CE63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 xml:space="preserve">A facility presently meeting all of the requirements for surface disposal in 40 CFR 503, Subpart C, </w:t>
      </w:r>
      <w:r w:rsidRPr="00326E64">
        <w:rPr>
          <w:rFonts w:ascii="Times New Roman" w:eastAsia="Calibri" w:hAnsi="Times New Roman" w:cs="Times New Roman"/>
          <w:strike/>
        </w:rPr>
        <w:t>must</w:t>
      </w:r>
      <w:r w:rsidRPr="00326E64">
        <w:rPr>
          <w:rFonts w:ascii="Times New Roman" w:eastAsia="Calibri" w:hAnsi="Times New Roman" w:cs="Times New Roman"/>
          <w:u w:val="single"/>
        </w:rPr>
        <w:t>shall</w:t>
      </w:r>
      <w:r w:rsidRPr="00326E64">
        <w:rPr>
          <w:rFonts w:ascii="Times New Roman" w:eastAsia="Calibri" w:hAnsi="Times New Roman" w:cs="Times New Roman"/>
        </w:rPr>
        <w:t xml:space="preserve"> comply with the requirements in Paragraph </w:t>
      </w:r>
      <w:r w:rsidRPr="00326E64">
        <w:rPr>
          <w:rFonts w:ascii="Times New Roman" w:eastAsia="Calibri" w:hAnsi="Times New Roman" w:cs="Times New Roman"/>
          <w:u w:val="single"/>
        </w:rPr>
        <w:t>I</w:t>
      </w:r>
      <w:r w:rsidRPr="00326E64">
        <w:rPr>
          <w:rFonts w:ascii="Times New Roman" w:eastAsia="Calibri" w:hAnsi="Times New Roman" w:cs="Times New Roman"/>
          <w:strike/>
        </w:rPr>
        <w:t>G</w:t>
      </w:r>
      <w:r w:rsidRPr="00326E64">
        <w:rPr>
          <w:rFonts w:ascii="Times New Roman" w:eastAsia="Calibri" w:hAnsi="Times New Roman" w:cs="Times New Roman"/>
        </w:rPr>
        <w:t>.2 of this Section as expeditiously as practicable, but in no case later than September 1, 2007.</w:t>
      </w:r>
    </w:p>
    <w:p w14:paraId="6738F9E3"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w:t>
      </w:r>
      <w:r w:rsidRPr="00326E64">
        <w:rPr>
          <w:rFonts w:ascii="Times New Roman" w:eastAsia="Calibri" w:hAnsi="Times New Roman" w:cs="Times New Roman"/>
        </w:rPr>
        <w:tab/>
        <w:t xml:space="preserve">A facility that does not meet all of the requirements for surface disposal in 40 CFR 503, Subpart C, </w:t>
      </w:r>
      <w:r w:rsidRPr="00326E64">
        <w:rPr>
          <w:rFonts w:ascii="Times New Roman" w:eastAsia="Calibri" w:hAnsi="Times New Roman" w:cs="Times New Roman"/>
          <w:strike/>
        </w:rPr>
        <w:t>must</w:t>
      </w:r>
      <w:r w:rsidRPr="00326E64">
        <w:rPr>
          <w:rFonts w:ascii="Times New Roman" w:eastAsia="Calibri" w:hAnsi="Times New Roman" w:cs="Times New Roman"/>
          <w:u w:val="single"/>
        </w:rPr>
        <w:t>shall</w:t>
      </w:r>
      <w:r w:rsidRPr="00326E64">
        <w:rPr>
          <w:rFonts w:ascii="Times New Roman" w:eastAsia="Calibri" w:hAnsi="Times New Roman" w:cs="Times New Roman"/>
        </w:rPr>
        <w:t xml:space="preserve"> comply with the requirements in Paragraph </w:t>
      </w:r>
      <w:r w:rsidRPr="00326E64">
        <w:rPr>
          <w:rFonts w:ascii="Times New Roman" w:eastAsia="Calibri" w:hAnsi="Times New Roman" w:cs="Times New Roman"/>
          <w:u w:val="single"/>
        </w:rPr>
        <w:t>I</w:t>
      </w:r>
      <w:r w:rsidRPr="00326E64">
        <w:rPr>
          <w:rFonts w:ascii="Times New Roman" w:eastAsia="Calibri" w:hAnsi="Times New Roman" w:cs="Times New Roman"/>
          <w:strike/>
        </w:rPr>
        <w:t>G</w:t>
      </w:r>
      <w:r w:rsidRPr="00326E64">
        <w:rPr>
          <w:rFonts w:ascii="Times New Roman" w:eastAsia="Calibri" w:hAnsi="Times New Roman" w:cs="Times New Roman"/>
        </w:rPr>
        <w:t>.2 of this Section by December 30, 2005.</w:t>
      </w:r>
    </w:p>
    <w:p w14:paraId="0FD769DC"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iii.</w:t>
      </w:r>
      <w:r w:rsidRPr="00326E64">
        <w:rPr>
          <w:rFonts w:ascii="Times New Roman" w:eastAsia="Calibri" w:hAnsi="Times New Roman" w:cs="Times New Roman"/>
        </w:rPr>
        <w:tab/>
        <w:t xml:space="preserve">All facilities </w:t>
      </w:r>
      <w:r w:rsidRPr="00326E64">
        <w:rPr>
          <w:rFonts w:ascii="Times New Roman" w:eastAsia="Calibri" w:hAnsi="Times New Roman" w:cs="Times New Roman"/>
          <w:strike/>
        </w:rPr>
        <w:t>must</w:t>
      </w:r>
      <w:r w:rsidRPr="00326E64">
        <w:rPr>
          <w:rFonts w:ascii="Times New Roman" w:eastAsia="Calibri" w:hAnsi="Times New Roman" w:cs="Times New Roman"/>
          <w:u w:val="single"/>
        </w:rPr>
        <w:t>shall</w:t>
      </w:r>
      <w:r w:rsidRPr="00326E64">
        <w:rPr>
          <w:rFonts w:ascii="Times New Roman" w:eastAsia="Calibri" w:hAnsi="Times New Roman" w:cs="Times New Roman"/>
        </w:rPr>
        <w:t xml:space="preserve"> comply with the requirements in Paragraphs </w:t>
      </w:r>
      <w:r w:rsidRPr="00326E64">
        <w:rPr>
          <w:rFonts w:ascii="Times New Roman" w:eastAsia="Calibri" w:hAnsi="Times New Roman" w:cs="Times New Roman"/>
          <w:u w:val="single"/>
        </w:rPr>
        <w:t>I</w:t>
      </w:r>
      <w:r w:rsidRPr="00326E64">
        <w:rPr>
          <w:rFonts w:ascii="Times New Roman" w:eastAsia="Calibri" w:hAnsi="Times New Roman" w:cs="Times New Roman"/>
          <w:strike/>
        </w:rPr>
        <w:t>G</w:t>
      </w:r>
      <w:r w:rsidRPr="00326E64">
        <w:rPr>
          <w:rFonts w:ascii="Times New Roman" w:eastAsia="Calibri" w:hAnsi="Times New Roman" w:cs="Times New Roman"/>
        </w:rPr>
        <w:t>.3 and 4 of this Section as expeditiously as practicable, but in no case later than September 1, 2007.</w:t>
      </w:r>
    </w:p>
    <w:p w14:paraId="5604E21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t>D. — D.1.b.iii.</w:t>
      </w:r>
      <w:r w:rsidRPr="00326E64">
        <w:rPr>
          <w:rFonts w:ascii="Times New Roman" w:eastAsia="Calibri" w:hAnsi="Times New Roman" w:cs="Times New Roman"/>
        </w:rPr>
        <w:tab/>
        <w:t>…</w:t>
      </w:r>
    </w:p>
    <w:p w14:paraId="14620C3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All major sanitary wastewater treatment facilities that do not receive domestic septage and/or portable toilet waste into their systems shall apply for a permit as expeditiously as practicable, but in no case later than three years from June 1, 2006.</w:t>
      </w:r>
    </w:p>
    <w:p w14:paraId="107B192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w:t>
      </w:r>
      <w:r w:rsidRPr="00326E64">
        <w:rPr>
          <w:rFonts w:ascii="Times New Roman" w:eastAsia="Calibri" w:hAnsi="Times New Roman" w:cs="Times New Roman"/>
          <w:strike/>
        </w:rPr>
        <w:tab/>
        <w:t>All minor sanitary wastewater treatment facilities that do not receive domestic septage and/or portable toilet waste into their systems shall apply for a permit as expeditiously as practicable, but in no case later than January 1, 2013.</w:t>
      </w:r>
    </w:p>
    <w:p w14:paraId="5D80ED7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c.</w:t>
      </w:r>
      <w:r w:rsidRPr="00326E64">
        <w:rPr>
          <w:rFonts w:ascii="Times New Roman" w:eastAsia="Calibri" w:hAnsi="Times New Roman" w:cs="Times New Roman"/>
        </w:rPr>
        <w:tab/>
        <w:t>At least 180 days prior to the expiration of a permit issued under these regulations, the owner/operator of the facility or the land applier shall submit an application for permit issuance under this Chapter if the owner/operator or land applier intends to continue operations after that date.</w:t>
      </w:r>
      <w:r w:rsidRPr="00326E64">
        <w:rPr>
          <w:rFonts w:ascii="Calibri" w:eastAsia="Calibri" w:hAnsi="Calibri" w:cs="Times New Roman"/>
          <w:sz w:val="22"/>
          <w:szCs w:val="22"/>
          <w:u w:val="single"/>
        </w:rPr>
        <w:t xml:space="preserve"> </w:t>
      </w:r>
      <w:r w:rsidRPr="00326E64">
        <w:rPr>
          <w:rFonts w:ascii="Times New Roman" w:eastAsia="Calibri" w:hAnsi="Times New Roman" w:cs="Times New Roman"/>
          <w:u w:val="single"/>
        </w:rPr>
        <w:t xml:space="preserve">Upon written request, permission for a later date may be </w:t>
      </w:r>
      <w:r w:rsidRPr="00326E64">
        <w:rPr>
          <w:rFonts w:ascii="Times New Roman" w:eastAsia="Calibri" w:hAnsi="Times New Roman" w:cs="Times New Roman"/>
          <w:u w:val="single"/>
        </w:rPr>
        <w:lastRenderedPageBreak/>
        <w:t>granted by the administrative authority. The administrative authority shall not grant permission for applications to be submitted later than the expiration date of the existing permit.</w:t>
      </w:r>
    </w:p>
    <w:p w14:paraId="3622070E" w14:textId="77777777" w:rsidR="00326E64" w:rsidRPr="00326E64" w:rsidRDefault="00326E64" w:rsidP="00326E64">
      <w:pPr>
        <w:tabs>
          <w:tab w:val="left" w:pos="720"/>
          <w:tab w:val="left" w:pos="1440"/>
          <w:tab w:val="left" w:pos="2160"/>
          <w:tab w:val="left" w:pos="3330"/>
        </w:tabs>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d. — e.</w:t>
      </w:r>
      <w:r w:rsidRPr="00326E64">
        <w:rPr>
          <w:rFonts w:ascii="Times New Roman" w:eastAsia="Calibri" w:hAnsi="Times New Roman" w:cs="Times New Roman"/>
        </w:rPr>
        <w:tab/>
        <w:t>…</w:t>
      </w:r>
    </w:p>
    <w:p w14:paraId="5275795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t>2.</w:t>
      </w:r>
      <w:r w:rsidRPr="00326E64">
        <w:rPr>
          <w:rFonts w:ascii="Times New Roman" w:eastAsia="Calibri" w:hAnsi="Times New Roman" w:cs="Times New Roman"/>
        </w:rPr>
        <w:tab/>
      </w:r>
      <w:r w:rsidRPr="00326E64">
        <w:rPr>
          <w:rFonts w:ascii="Times New Roman" w:eastAsia="Calibri" w:hAnsi="Times New Roman" w:cs="Times New Roman"/>
          <w:strike/>
        </w:rPr>
        <w:t>Exempt Status for Those Applying Biosolids to the Land</w:t>
      </w:r>
      <w:r w:rsidRPr="00326E64">
        <w:rPr>
          <w:rFonts w:ascii="Times New Roman" w:eastAsia="Calibri" w:hAnsi="Times New Roman" w:cs="Times New Roman"/>
          <w:u w:val="single"/>
        </w:rPr>
        <w:t>Obtaining a Sewage Sludge or Biosolids Use or Disposal Permit and Pond Closure Approval</w:t>
      </w:r>
    </w:p>
    <w:p w14:paraId="7FBD66A8" w14:textId="77777777" w:rsidR="00326E64" w:rsidRPr="00326E64" w:rsidRDefault="00326E64" w:rsidP="00326E64">
      <w:pPr>
        <w:tabs>
          <w:tab w:val="left" w:pos="720"/>
          <w:tab w:val="left" w:pos="1440"/>
          <w:tab w:val="left" w:pos="2160"/>
          <w:tab w:val="left" w:pos="3330"/>
        </w:tabs>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 — c.</w:t>
      </w:r>
      <w:r w:rsidRPr="00326E64">
        <w:rPr>
          <w:rFonts w:ascii="Times New Roman" w:eastAsia="Calibri" w:hAnsi="Times New Roman" w:cs="Times New Roman"/>
        </w:rPr>
        <w:tab/>
        <w:t>…</w:t>
      </w:r>
    </w:p>
    <w:p w14:paraId="201829A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 xml:space="preserve">A person that generates a sewage sludge, and does not treat the sewage sludge to be disposed at a landfill or other approved sewage sludge treatment facility, does not incinerate sewage sludge, or does not treat sewage sludge for land application, who complies with the specific requirements of Subsection E of this Section is exempted from obtaining a permit. </w:t>
      </w:r>
    </w:p>
    <w:p w14:paraId="5A01BCD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e.</w:t>
      </w:r>
      <w:r w:rsidRPr="00326E64">
        <w:rPr>
          <w:rFonts w:ascii="Times New Roman" w:eastAsia="Calibri" w:hAnsi="Times New Roman" w:cs="Times New Roman"/>
          <w:u w:val="single"/>
        </w:rPr>
        <w:tab/>
        <w:t>A person that generates sewage sludge, and treats the sewage sludge to be disposed in a landfill or other approved sewage sludge treatment facility, who complies with the specific requirements of Subsection G of this Section is exempted from obtaining a permit.</w:t>
      </w:r>
    </w:p>
    <w:p w14:paraId="0FB726A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3.</w:t>
      </w:r>
      <w:r w:rsidRPr="00326E64">
        <w:rPr>
          <w:rFonts w:ascii="Times New Roman" w:eastAsia="Calibri" w:hAnsi="Times New Roman" w:cs="Times New Roman"/>
          <w:strike/>
        </w:rPr>
        <w:tab/>
        <w:t>A person who prepares sewage sludge, a person who applies biosolids to the land, and the owner and/or operator of a sewage sludge incinerator who desires to maintain a permit shall obtain adequate training and certification in the processing, treatment, land application, and incineration of sewage sludge.</w:t>
      </w:r>
    </w:p>
    <w:p w14:paraId="0053A42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To maintain certification, a minimum of 16 contact hours of continuous education are required for each certificate held during the previous two-year certification period.</w:t>
      </w:r>
    </w:p>
    <w:p w14:paraId="23CC1AF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Classes, seminars, conferences, or conventions used for units shall be approved by the administrative authority.</w:t>
      </w:r>
    </w:p>
    <w:p w14:paraId="6833708A"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3</w:t>
      </w:r>
      <w:r w:rsidRPr="00326E64">
        <w:rPr>
          <w:rFonts w:ascii="Times New Roman" w:eastAsia="Calibri" w:hAnsi="Times New Roman" w:cs="Times New Roman"/>
          <w:strike/>
        </w:rPr>
        <w:t>4</w:t>
      </w:r>
      <w:r w:rsidRPr="00326E64">
        <w:rPr>
          <w:rFonts w:ascii="Times New Roman" w:eastAsia="Calibri" w:hAnsi="Times New Roman" w:cs="Times New Roman"/>
        </w:rPr>
        <w:t>.</w:t>
      </w:r>
      <w:r w:rsidRPr="00326E64">
        <w:rPr>
          <w:rFonts w:ascii="Times New Roman" w:eastAsia="Calibri" w:hAnsi="Times New Roman" w:cs="Times New Roman"/>
        </w:rPr>
        <w:tab/>
        <w:t>Closure of oxidation ponds, lagoons, and/or surface impoundments utilized for sewage sludge disposal, preparation of sewage sludge, or treatment of sanitary wastewater shall comply with the following.</w:t>
      </w:r>
    </w:p>
    <w:p w14:paraId="18713B3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 xml:space="preserve">The liquid portion </w:t>
      </w:r>
      <w:r w:rsidRPr="00326E64">
        <w:rPr>
          <w:rFonts w:ascii="Times New Roman" w:eastAsia="Calibri" w:hAnsi="Times New Roman" w:cs="Times New Roman"/>
          <w:strike/>
        </w:rPr>
        <w:t>must</w:t>
      </w:r>
      <w:r w:rsidRPr="00326E64">
        <w:rPr>
          <w:rFonts w:ascii="Times New Roman" w:eastAsia="Calibri" w:hAnsi="Times New Roman" w:cs="Times New Roman"/>
          <w:u w:val="single"/>
        </w:rPr>
        <w:t>shall</w:t>
      </w:r>
      <w:r w:rsidRPr="00326E64">
        <w:rPr>
          <w:rFonts w:ascii="Times New Roman" w:eastAsia="Calibri" w:hAnsi="Times New Roman" w:cs="Times New Roman"/>
        </w:rPr>
        <w:t xml:space="preserve"> be removed in a manner that meets the requirements of LAC 33:IX.Chapters 23-71.</w:t>
      </w:r>
    </w:p>
    <w:p w14:paraId="4AF8B79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After removal of the liquid, the sewage sludge shall be used or disposed through one of the options in Clause D.</w:t>
      </w:r>
      <w:r w:rsidRPr="00326E64">
        <w:rPr>
          <w:rFonts w:ascii="Times New Roman" w:eastAsia="Calibri" w:hAnsi="Times New Roman" w:cs="Times New Roman"/>
          <w:strike/>
        </w:rPr>
        <w:t>4</w:t>
      </w:r>
      <w:r w:rsidRPr="00326E64">
        <w:rPr>
          <w:rFonts w:ascii="Times New Roman" w:eastAsia="Calibri" w:hAnsi="Times New Roman" w:cs="Times New Roman"/>
          <w:u w:val="single"/>
        </w:rPr>
        <w:t>3</w:t>
      </w:r>
      <w:r w:rsidRPr="00326E64">
        <w:rPr>
          <w:rFonts w:ascii="Times New Roman" w:eastAsia="Calibri" w:hAnsi="Times New Roman" w:cs="Times New Roman"/>
        </w:rPr>
        <w:t>.b.i</w:t>
      </w:r>
      <w:r w:rsidRPr="00326E64">
        <w:rPr>
          <w:rFonts w:ascii="Times New Roman" w:eastAsia="Calibri" w:hAnsi="Times New Roman" w:cs="Times New Roman"/>
          <w:u w:val="single"/>
        </w:rPr>
        <w:t>-</w:t>
      </w:r>
      <w:r w:rsidRPr="00326E64">
        <w:rPr>
          <w:rFonts w:ascii="Times New Roman" w:eastAsia="Calibri" w:hAnsi="Times New Roman" w:cs="Times New Roman"/>
          <w:strike/>
        </w:rPr>
        <w:t>or ii</w:t>
      </w:r>
      <w:r w:rsidRPr="00326E64">
        <w:rPr>
          <w:rFonts w:ascii="Times New Roman" w:eastAsia="Calibri" w:hAnsi="Times New Roman" w:cs="Times New Roman"/>
          <w:u w:val="single"/>
        </w:rPr>
        <w:t>v</w:t>
      </w:r>
      <w:r w:rsidRPr="00326E64">
        <w:rPr>
          <w:rFonts w:ascii="Times New Roman" w:eastAsia="Calibri" w:hAnsi="Times New Roman" w:cs="Times New Roman"/>
        </w:rPr>
        <w:t xml:space="preserve"> of this Section as follows:</w:t>
      </w:r>
    </w:p>
    <w:p w14:paraId="42A71DAD"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r>
      <w:r w:rsidRPr="00326E64">
        <w:rPr>
          <w:rFonts w:ascii="Times New Roman" w:eastAsia="Calibri" w:hAnsi="Times New Roman" w:cs="Times New Roman"/>
          <w:u w:val="single"/>
        </w:rPr>
        <w:t>implementation of a closure plan approved by the administrative authority</w:t>
      </w:r>
      <w:r w:rsidRPr="00326E64">
        <w:rPr>
          <w:rFonts w:ascii="Times New Roman" w:eastAsia="Calibri" w:hAnsi="Times New Roman" w:cs="Times New Roman"/>
          <w:strike/>
        </w:rPr>
        <w:t>the submittal of a closure plan to the Office of Environmental Services</w:t>
      </w:r>
      <w:r w:rsidRPr="00326E64">
        <w:rPr>
          <w:rFonts w:ascii="Times New Roman" w:eastAsia="Calibri" w:hAnsi="Times New Roman" w:cs="Times New Roman"/>
        </w:rPr>
        <w:t xml:space="preserve"> for the total removal of the sewage sludge and subsequent disposal of the sewage sludge in a permitted landfill. Approval or disapproval of the closure plan shall be rendered by the </w:t>
      </w:r>
      <w:r w:rsidRPr="00326E64">
        <w:rPr>
          <w:rFonts w:ascii="Times New Roman" w:eastAsia="Calibri" w:hAnsi="Times New Roman" w:cs="Times New Roman"/>
          <w:u w:val="single"/>
        </w:rPr>
        <w:t>administrative authority</w:t>
      </w:r>
      <w:r w:rsidRPr="00326E64">
        <w:rPr>
          <w:rFonts w:ascii="Times New Roman" w:eastAsia="Calibri" w:hAnsi="Times New Roman" w:cs="Times New Roman"/>
          <w:strike/>
        </w:rPr>
        <w:t xml:space="preserve">Office of Environmental Services </w:t>
      </w:r>
      <w:r w:rsidRPr="00326E64">
        <w:rPr>
          <w:rFonts w:ascii="Times New Roman" w:eastAsia="Calibri" w:hAnsi="Times New Roman" w:cs="Times New Roman"/>
        </w:rPr>
        <w:t xml:space="preserve">after </w:t>
      </w:r>
      <w:r w:rsidRPr="00326E64">
        <w:rPr>
          <w:rFonts w:ascii="Times New Roman" w:eastAsia="Calibri" w:hAnsi="Times New Roman" w:cs="Times New Roman"/>
          <w:strike/>
        </w:rPr>
        <w:t>receipt and</w:t>
      </w:r>
      <w:r w:rsidRPr="00326E64">
        <w:rPr>
          <w:rFonts w:ascii="Times New Roman" w:eastAsia="Calibri" w:hAnsi="Times New Roman" w:cs="Times New Roman"/>
        </w:rPr>
        <w:t xml:space="preserve"> review of the </w:t>
      </w:r>
      <w:r w:rsidRPr="00326E64">
        <w:rPr>
          <w:rFonts w:ascii="Times New Roman" w:eastAsia="Calibri" w:hAnsi="Times New Roman" w:cs="Times New Roman"/>
          <w:u w:val="single"/>
        </w:rPr>
        <w:t xml:space="preserve">proposed closure </w:t>
      </w:r>
      <w:r w:rsidRPr="00326E64">
        <w:rPr>
          <w:rFonts w:ascii="Times New Roman" w:eastAsia="Calibri" w:hAnsi="Times New Roman" w:cs="Times New Roman"/>
        </w:rPr>
        <w:t xml:space="preserve">plan </w:t>
      </w:r>
      <w:r w:rsidRPr="00326E64">
        <w:rPr>
          <w:rFonts w:ascii="Times New Roman" w:eastAsia="Calibri" w:hAnsi="Times New Roman" w:cs="Times New Roman"/>
          <w:u w:val="single"/>
        </w:rPr>
        <w:t>submitted by the applicant</w:t>
      </w:r>
      <w:r w:rsidRPr="00326E64">
        <w:rPr>
          <w:rFonts w:ascii="Times New Roman" w:eastAsia="Calibri" w:hAnsi="Times New Roman" w:cs="Times New Roman"/>
        </w:rPr>
        <w:t>. The closure plan shall include the following:</w:t>
      </w:r>
    </w:p>
    <w:p w14:paraId="202A542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the name, mailing address, physical address, and contact person of the facility that is proposed for closure;</w:t>
      </w:r>
    </w:p>
    <w:p w14:paraId="12EC5CDA"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an aerial photograph showing the location of the facility that is proposed for closure;</w:t>
      </w:r>
    </w:p>
    <w:p w14:paraId="10B2DF8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(c).</w:t>
      </w:r>
      <w:r w:rsidRPr="00326E64">
        <w:rPr>
          <w:rFonts w:ascii="Times New Roman" w:eastAsia="Calibri" w:hAnsi="Times New Roman" w:cs="Times New Roman"/>
        </w:rPr>
        <w:tab/>
        <w:t>the approximate amount of sewage sludge that will be removed and disposed at a permitted landfill;</w:t>
      </w:r>
    </w:p>
    <w:p w14:paraId="3935163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(d).</w:t>
      </w:r>
      <w:r w:rsidRPr="00326E64">
        <w:rPr>
          <w:rFonts w:ascii="Times New Roman" w:eastAsia="Calibri" w:hAnsi="Times New Roman" w:cs="Times New Roman"/>
        </w:rPr>
        <w:tab/>
        <w:t>sampling and analysis for the following parameters:</w:t>
      </w:r>
    </w:p>
    <w:p w14:paraId="44A1A78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toxicity characteristics leaching procedure (TCLP) and the presence of PCBs;</w:t>
      </w:r>
    </w:p>
    <w:p w14:paraId="08A4A95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w:t>
      </w:r>
      <w:r w:rsidRPr="00326E64">
        <w:rPr>
          <w:rFonts w:ascii="Times New Roman" w:eastAsia="Calibri" w:hAnsi="Times New Roman" w:cs="Times New Roman"/>
        </w:rPr>
        <w:tab/>
        <w:t>paint filter liquids test; and</w:t>
      </w:r>
    </w:p>
    <w:p w14:paraId="3000D9B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(iii).</w:t>
      </w:r>
      <w:r w:rsidRPr="00326E64">
        <w:rPr>
          <w:rFonts w:ascii="Times New Roman" w:eastAsia="Calibri" w:hAnsi="Times New Roman" w:cs="Times New Roman"/>
        </w:rPr>
        <w:tab/>
        <w:t>any other parameter required by the chosen permitted landfill;</w:t>
      </w:r>
    </w:p>
    <w:p w14:paraId="2BAC8E3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(e).</w:t>
      </w:r>
      <w:r w:rsidRPr="00326E64">
        <w:rPr>
          <w:rFonts w:ascii="Times New Roman" w:eastAsia="Calibri" w:hAnsi="Times New Roman" w:cs="Times New Roman"/>
        </w:rPr>
        <w:tab/>
        <w:t>either a schematic drawing or an aerial photograph that indicates where the samples for the parameters in Subclause D.</w:t>
      </w:r>
      <w:r w:rsidRPr="00326E64">
        <w:rPr>
          <w:rFonts w:ascii="Times New Roman" w:eastAsia="Calibri" w:hAnsi="Times New Roman" w:cs="Times New Roman"/>
          <w:strike/>
        </w:rPr>
        <w:t>4</w:t>
      </w:r>
      <w:r w:rsidRPr="00326E64">
        <w:rPr>
          <w:rFonts w:ascii="Times New Roman" w:eastAsia="Calibri" w:hAnsi="Times New Roman" w:cs="Times New Roman"/>
        </w:rPr>
        <w:t>.</w:t>
      </w:r>
      <w:r w:rsidRPr="00326E64">
        <w:rPr>
          <w:rFonts w:ascii="Times New Roman" w:eastAsia="Calibri" w:hAnsi="Times New Roman" w:cs="Times New Roman"/>
          <w:u w:val="single"/>
        </w:rPr>
        <w:t>3</w:t>
      </w:r>
      <w:r w:rsidRPr="00326E64">
        <w:rPr>
          <w:rFonts w:ascii="Times New Roman" w:eastAsia="Calibri" w:hAnsi="Times New Roman" w:cs="Times New Roman"/>
        </w:rPr>
        <w:t>b.i.(d) of this Section were taken in the facility;</w:t>
      </w:r>
    </w:p>
    <w:p w14:paraId="15D93DFC"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(f).</w:t>
      </w:r>
      <w:r w:rsidRPr="00326E64">
        <w:rPr>
          <w:rFonts w:ascii="Times New Roman" w:eastAsia="Calibri" w:hAnsi="Times New Roman" w:cs="Times New Roman"/>
        </w:rPr>
        <w:tab/>
        <w:t>the laboratory methods utilized for the sampling and analysis of the parameters in Subclause D.4</w:t>
      </w:r>
      <w:r w:rsidRPr="00326E64">
        <w:rPr>
          <w:rFonts w:ascii="Times New Roman" w:eastAsia="Calibri" w:hAnsi="Times New Roman" w:cs="Times New Roman"/>
          <w:u w:val="single"/>
        </w:rPr>
        <w:t>3</w:t>
      </w:r>
      <w:r w:rsidRPr="00326E64">
        <w:rPr>
          <w:rFonts w:ascii="Times New Roman" w:eastAsia="Calibri" w:hAnsi="Times New Roman" w:cs="Times New Roman"/>
        </w:rPr>
        <w:t>.b.i.(d) of this Section;</w:t>
      </w:r>
    </w:p>
    <w:p w14:paraId="4A2BAA23"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(g).</w:t>
      </w:r>
      <w:r w:rsidRPr="00326E64">
        <w:rPr>
          <w:rFonts w:ascii="Times New Roman" w:eastAsia="Calibri" w:hAnsi="Times New Roman" w:cs="Times New Roman"/>
        </w:rPr>
        <w:tab/>
        <w:t xml:space="preserve">the name of the laboratory </w:t>
      </w:r>
      <w:r w:rsidRPr="00326E64">
        <w:rPr>
          <w:rFonts w:ascii="Times New Roman" w:eastAsia="Calibri" w:hAnsi="Times New Roman" w:cs="Times New Roman"/>
          <w:u w:val="single"/>
        </w:rPr>
        <w:t xml:space="preserve">and LELAP accreditation number </w:t>
      </w:r>
      <w:r w:rsidRPr="00326E64">
        <w:rPr>
          <w:rFonts w:ascii="Times New Roman" w:eastAsia="Calibri" w:hAnsi="Times New Roman" w:cs="Times New Roman"/>
        </w:rPr>
        <w:t>where the samples for the parameters in Subclause D.4</w:t>
      </w:r>
      <w:r w:rsidRPr="00326E64">
        <w:rPr>
          <w:rFonts w:ascii="Times New Roman" w:eastAsia="Calibri" w:hAnsi="Times New Roman" w:cs="Times New Roman"/>
          <w:u w:val="single"/>
        </w:rPr>
        <w:t>3</w:t>
      </w:r>
      <w:r w:rsidRPr="00326E64">
        <w:rPr>
          <w:rFonts w:ascii="Times New Roman" w:eastAsia="Calibri" w:hAnsi="Times New Roman" w:cs="Times New Roman"/>
        </w:rPr>
        <w:t>.b.i.(d) of this Section were analyzed;</w:t>
      </w:r>
    </w:p>
    <w:p w14:paraId="082AE66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(h).</w:t>
      </w:r>
      <w:r w:rsidRPr="00326E64">
        <w:rPr>
          <w:rFonts w:ascii="Times New Roman" w:eastAsia="Calibri" w:hAnsi="Times New Roman" w:cs="Times New Roman"/>
        </w:rPr>
        <w:tab/>
        <w:t>the name, location, and contact person of the site where the sewage sludge will be disposed; and</w:t>
      </w:r>
    </w:p>
    <w:p w14:paraId="70D576D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any other information the department may require</w:t>
      </w:r>
      <w:r w:rsidRPr="00326E64">
        <w:rPr>
          <w:rFonts w:ascii="Times New Roman" w:eastAsia="Calibri" w:hAnsi="Times New Roman" w:cs="Times New Roman"/>
          <w:u w:val="single"/>
        </w:rPr>
        <w:t>.</w:t>
      </w:r>
      <w:r w:rsidRPr="00326E64">
        <w:rPr>
          <w:rFonts w:ascii="Times New Roman" w:eastAsia="Calibri" w:hAnsi="Times New Roman" w:cs="Times New Roman"/>
          <w:strike/>
        </w:rPr>
        <w:t xml:space="preserve">; or </w:t>
      </w:r>
    </w:p>
    <w:p w14:paraId="483C571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w:t>
      </w:r>
      <w:r w:rsidRPr="00326E64">
        <w:rPr>
          <w:rFonts w:ascii="Times New Roman" w:eastAsia="Calibri" w:hAnsi="Times New Roman" w:cs="Times New Roman"/>
        </w:rPr>
        <w:tab/>
      </w:r>
      <w:r w:rsidRPr="00326E64">
        <w:rPr>
          <w:rFonts w:ascii="Times New Roman" w:eastAsia="Calibri" w:hAnsi="Times New Roman" w:cs="Times New Roman"/>
          <w:strike/>
        </w:rPr>
        <w:t>obtaining approval for a permit for the land application of the sewage sludge as a Class B biosolid by submittal of a sewage sludge and biosolids use or disposal permit application to the Office of Environmental Services utilizing the application form that can be accessed on the department’s website or by contacting the Office of Environmental Services.</w:t>
      </w:r>
      <w:r w:rsidRPr="00326E64">
        <w:rPr>
          <w:rFonts w:ascii="Times New Roman" w:eastAsia="Calibri" w:hAnsi="Times New Roman" w:cs="Times New Roman"/>
          <w:u w:val="single"/>
        </w:rPr>
        <w:t xml:space="preserve">implementation of a closure plan approved by the administrative authority for the total removal of the sewage sludge by an approved sewage sludge transporter.  Approval or </w:t>
      </w:r>
      <w:r w:rsidRPr="00326E64">
        <w:rPr>
          <w:rFonts w:ascii="Times New Roman" w:eastAsia="Calibri" w:hAnsi="Times New Roman" w:cs="Times New Roman"/>
          <w:u w:val="single"/>
        </w:rPr>
        <w:lastRenderedPageBreak/>
        <w:t>disapproval of the closure plan shall be rendered by the administrative authority after review of the proposed closure plan submitted by the applicant. The closure plan shall include the following:</w:t>
      </w:r>
    </w:p>
    <w:p w14:paraId="4DE5F07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name, mailing address, physical address, and contact person of the facility that is proposed for closure;</w:t>
      </w:r>
    </w:p>
    <w:p w14:paraId="0947AAC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an aerial photograph showing the location of the facility that is proposed for closure;</w:t>
      </w:r>
    </w:p>
    <w:p w14:paraId="1D70479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 xml:space="preserve">the approximate amount of sewage sludge that will be removed and disposed; </w:t>
      </w:r>
    </w:p>
    <w:p w14:paraId="7776A8B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 xml:space="preserve">the name of the approved sewage sludge hauler and hauler registration number; </w:t>
      </w:r>
    </w:p>
    <w:p w14:paraId="1E337E4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(e).</w:t>
      </w:r>
      <w:r w:rsidRPr="00326E64">
        <w:rPr>
          <w:rFonts w:ascii="Times New Roman" w:eastAsia="Calibri" w:hAnsi="Times New Roman" w:cs="Times New Roman"/>
          <w:u w:val="single"/>
        </w:rPr>
        <w:tab/>
        <w:t>name, location, and contact person of the site where the sewage sludge will be disposed;</w:t>
      </w:r>
    </w:p>
    <w:p w14:paraId="38801EC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(f).</w:t>
      </w:r>
      <w:r w:rsidRPr="00326E64">
        <w:rPr>
          <w:rFonts w:ascii="Times New Roman" w:eastAsia="Calibri" w:hAnsi="Times New Roman" w:cs="Times New Roman"/>
          <w:u w:val="single"/>
        </w:rPr>
        <w:tab/>
        <w:t>any other information the department may require.</w:t>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the implementation of a closure plan form specified by, and approved by, the administrative authority for the total removal and processing of the sewage sludge into a Class B or Exceptional Quality Biosolids for land application.  Approval or disapproval of the pond closure shall be rendered by the administrative authority after review of the closure plan form; or</w:t>
      </w:r>
    </w:p>
    <w:p w14:paraId="26292F2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iv.</w:t>
      </w:r>
      <w:r w:rsidRPr="00326E64">
        <w:rPr>
          <w:rFonts w:ascii="Times New Roman" w:eastAsia="Calibri" w:hAnsi="Times New Roman" w:cs="Times New Roman"/>
          <w:u w:val="single"/>
        </w:rPr>
        <w:tab/>
        <w:t xml:space="preserve">the implementation of a closure plan approved by the administrative authority for the closure of an oxidation pond, lagoon, and/or surface impoundment without the removal of sewage sludge. Approval or disapproval of the closure plan </w:t>
      </w:r>
      <w:r w:rsidRPr="00326E64">
        <w:rPr>
          <w:rFonts w:ascii="Times New Roman" w:eastAsia="Calibri" w:hAnsi="Times New Roman" w:cs="Times New Roman"/>
          <w:u w:val="single"/>
        </w:rPr>
        <w:lastRenderedPageBreak/>
        <w:t>shall be rendered by the administrative authority after review of the proposed closure plan submitted by the applicant. The closure plan shall include the following</w:t>
      </w:r>
      <w:r w:rsidRPr="00326E64">
        <w:rPr>
          <w:rFonts w:ascii="Times New Roman" w:eastAsia="Calibri" w:hAnsi="Times New Roman" w:cs="Times New Roman"/>
        </w:rPr>
        <w:t>:</w:t>
      </w:r>
    </w:p>
    <w:p w14:paraId="1502BED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name, mailing address, physical address, and contact person of the facility that is proposed for closure;</w:t>
      </w:r>
    </w:p>
    <w:p w14:paraId="2560FA0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a detailed description of the treatment process of the sewage sludge within the oxidation pond, lagoon, and/or surface impoundment;</w:t>
      </w:r>
    </w:p>
    <w:p w14:paraId="1463CA6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a detailed description of the expected future use of the property;</w:t>
      </w:r>
    </w:p>
    <w:p w14:paraId="5358F40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a demonstration to the department to substantiate that the closure of the oxidation pond, lagoon, and/or surface impoundment without the removal of sewage sludge will not adversely affect human health and the environment;</w:t>
      </w:r>
    </w:p>
    <w:p w14:paraId="1695F71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(e).</w:t>
      </w:r>
      <w:r w:rsidRPr="00326E64">
        <w:rPr>
          <w:rFonts w:ascii="Times New Roman" w:eastAsia="Calibri" w:hAnsi="Times New Roman" w:cs="Times New Roman"/>
          <w:u w:val="single"/>
        </w:rPr>
        <w:tab/>
        <w:t>any other information the department may require;</w:t>
      </w:r>
    </w:p>
    <w:p w14:paraId="1234618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(f).</w:t>
      </w:r>
      <w:r w:rsidRPr="00326E64">
        <w:rPr>
          <w:rFonts w:ascii="Times New Roman" w:eastAsia="Calibri" w:hAnsi="Times New Roman" w:cs="Times New Roman"/>
          <w:u w:val="single"/>
        </w:rPr>
        <w:tab/>
        <w:t>additional information and or requirements include, but are not limited to:</w:t>
      </w:r>
    </w:p>
    <w:p w14:paraId="7E8E58C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oxidation pond shall be filled with a material strong enough to withstand machinery used to prepare the site;</w:t>
      </w:r>
    </w:p>
    <w:p w14:paraId="35F090E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the site shall be managed in a manner that ensures that there are no adverse impacts to human health or the environment; and</w:t>
      </w:r>
    </w:p>
    <w:p w14:paraId="68F2BF6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 xml:space="preserve">parish mortgage and conveyance records for the property shall be updated to include the specific location of the facility and any oxidation ponds, and to specify that an oxidation pond located on the property was closed without the removal of sewage sludge. The document shall identify the name and address of the person with </w:t>
      </w:r>
      <w:r w:rsidRPr="00326E64">
        <w:rPr>
          <w:rFonts w:ascii="Times New Roman" w:eastAsia="Calibri" w:hAnsi="Times New Roman" w:cs="Times New Roman"/>
          <w:u w:val="single"/>
        </w:rPr>
        <w:lastRenderedPageBreak/>
        <w:t>the knowledge of the facility and oxidation pond. A true copy of the document filed and certified by the parish clerk of court shall be submitted to the administrative authority;</w:t>
      </w:r>
    </w:p>
    <w:p w14:paraId="43A5F76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v.</w:t>
      </w:r>
      <w:r w:rsidRPr="00326E64">
        <w:rPr>
          <w:rFonts w:ascii="Times New Roman" w:eastAsia="Calibri" w:hAnsi="Times New Roman" w:cs="Times New Roman"/>
          <w:u w:val="single"/>
        </w:rPr>
        <w:tab/>
        <w:t>if the oxidation pond, lagoon, and/or surface impoundment is already permitted under an existing Sewage Sludge and Biosolids Use or Disposal permit, that permit may be used for the disposal of the sewage sludge for the pond closure.</w:t>
      </w:r>
    </w:p>
    <w:p w14:paraId="51114FE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c.</w:t>
      </w:r>
      <w:r w:rsidRPr="00326E64">
        <w:rPr>
          <w:rFonts w:ascii="Times New Roman" w:eastAsia="Calibri" w:hAnsi="Times New Roman" w:cs="Times New Roman"/>
        </w:rPr>
        <w:tab/>
        <w:t>Upon completion of the use or disposal option selected in either Clause D.</w:t>
      </w:r>
      <w:r w:rsidRPr="00326E64">
        <w:rPr>
          <w:rFonts w:ascii="Times New Roman" w:eastAsia="Calibri" w:hAnsi="Times New Roman" w:cs="Times New Roman"/>
          <w:u w:val="single"/>
        </w:rPr>
        <w:t>3</w:t>
      </w:r>
      <w:r w:rsidRPr="00326E64">
        <w:rPr>
          <w:rFonts w:ascii="Times New Roman" w:eastAsia="Calibri" w:hAnsi="Times New Roman" w:cs="Times New Roman"/>
          <w:strike/>
        </w:rPr>
        <w:t>4</w:t>
      </w:r>
      <w:r w:rsidRPr="00326E64">
        <w:rPr>
          <w:rFonts w:ascii="Times New Roman" w:eastAsia="Calibri" w:hAnsi="Times New Roman" w:cs="Times New Roman"/>
        </w:rPr>
        <w:t>.b.i</w:t>
      </w:r>
      <w:r w:rsidRPr="00326E64">
        <w:rPr>
          <w:rFonts w:ascii="Times New Roman" w:eastAsia="Calibri" w:hAnsi="Times New Roman" w:cs="Times New Roman"/>
          <w:strike/>
        </w:rPr>
        <w:t xml:space="preserve"> or ii</w:t>
      </w:r>
      <w:r w:rsidRPr="00326E64">
        <w:rPr>
          <w:rFonts w:ascii="Times New Roman" w:eastAsia="Calibri" w:hAnsi="Times New Roman" w:cs="Times New Roman"/>
        </w:rPr>
        <w:t xml:space="preserve"> </w:t>
      </w:r>
      <w:r w:rsidRPr="00326E64">
        <w:rPr>
          <w:rFonts w:ascii="Times New Roman" w:eastAsia="Calibri" w:hAnsi="Times New Roman" w:cs="Times New Roman"/>
          <w:u w:val="single"/>
        </w:rPr>
        <w:t>-v</w:t>
      </w:r>
      <w:r w:rsidRPr="00326E64">
        <w:rPr>
          <w:rFonts w:ascii="Times New Roman" w:eastAsia="Calibri" w:hAnsi="Times New Roman" w:cs="Times New Roman"/>
        </w:rPr>
        <w:t xml:space="preserve"> of this Section, </w:t>
      </w:r>
      <w:r w:rsidRPr="00326E64">
        <w:rPr>
          <w:rFonts w:ascii="Times New Roman" w:eastAsia="Calibri" w:hAnsi="Times New Roman" w:cs="Times New Roman"/>
          <w:strike/>
        </w:rPr>
        <w:t xml:space="preserve">if the facility is a pond/lagoon/surface impoundment, </w:t>
      </w:r>
      <w:r w:rsidRPr="00326E64">
        <w:rPr>
          <w:rFonts w:ascii="Times New Roman" w:eastAsia="Calibri" w:hAnsi="Times New Roman" w:cs="Times New Roman"/>
        </w:rPr>
        <w:t>the levees shall be broken and leveled and the</w:t>
      </w:r>
      <w:r w:rsidRPr="00326E64">
        <w:rPr>
          <w:rFonts w:ascii="Times New Roman" w:eastAsia="Calibri" w:hAnsi="Times New Roman" w:cs="Times New Roman"/>
          <w:u w:val="single"/>
        </w:rPr>
        <w:t xml:space="preserve"> oxidation</w:t>
      </w:r>
      <w:r w:rsidRPr="00326E64">
        <w:rPr>
          <w:rFonts w:ascii="Times New Roman" w:eastAsia="Calibri" w:hAnsi="Times New Roman" w:cs="Times New Roman"/>
        </w:rPr>
        <w:t xml:space="preserve"> pond/lagoon/surface impoundment shall be filled with soil that includes a minimum of at least 6 inches of topsoil to support vegetative growth.</w:t>
      </w:r>
    </w:p>
    <w:p w14:paraId="2034670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The administrative authority may, on a case-by-case basis, approve an alternative from the requirement in Clause D.3.c.</w:t>
      </w:r>
    </w:p>
    <w:p w14:paraId="1561644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4</w:t>
      </w:r>
      <w:r w:rsidRPr="00326E64">
        <w:rPr>
          <w:rFonts w:ascii="Times New Roman" w:eastAsia="Calibri" w:hAnsi="Times New Roman" w:cs="Times New Roman"/>
          <w:strike/>
        </w:rPr>
        <w:t>5</w:t>
      </w:r>
      <w:r w:rsidRPr="00326E64">
        <w:rPr>
          <w:rFonts w:ascii="Times New Roman" w:eastAsia="Calibri" w:hAnsi="Times New Roman" w:cs="Times New Roman"/>
        </w:rPr>
        <w:t>.</w:t>
      </w:r>
      <w:r w:rsidRPr="00326E64">
        <w:rPr>
          <w:rFonts w:ascii="Times New Roman" w:eastAsia="Calibri" w:hAnsi="Times New Roman" w:cs="Times New Roman"/>
        </w:rPr>
        <w:tab/>
        <w:t xml:space="preserve">Environmental Assessment Statement. In addition to the requirements of this Chapter, all sewage sludge and biosolids use or disposal permit application forms for a new permit for a commercial preparer of sewage sludge or a major modification to a permit for a commercial preparer of sewage sludge </w:t>
      </w:r>
      <w:r w:rsidRPr="00326E64">
        <w:rPr>
          <w:rFonts w:ascii="Times New Roman" w:eastAsia="Calibri" w:hAnsi="Times New Roman" w:cs="Times New Roman"/>
          <w:strike/>
        </w:rPr>
        <w:t>must</w:t>
      </w:r>
      <w:r w:rsidRPr="00326E64">
        <w:rPr>
          <w:rFonts w:ascii="Times New Roman" w:eastAsia="Calibri" w:hAnsi="Times New Roman" w:cs="Times New Roman"/>
          <w:u w:val="single"/>
        </w:rPr>
        <w:t>shall</w:t>
      </w:r>
      <w:r w:rsidRPr="00326E64">
        <w:rPr>
          <w:rFonts w:ascii="Times New Roman" w:eastAsia="Calibri" w:hAnsi="Times New Roman" w:cs="Times New Roman"/>
        </w:rPr>
        <w:t xml:space="preserve"> include a response to each of the following:</w:t>
      </w:r>
    </w:p>
    <w:p w14:paraId="54504DAF" w14:textId="77777777" w:rsidR="00326E64" w:rsidRPr="00326E64" w:rsidRDefault="00326E64" w:rsidP="00326E64">
      <w:pPr>
        <w:tabs>
          <w:tab w:val="left" w:pos="720"/>
          <w:tab w:val="left" w:pos="1440"/>
          <w:tab w:val="left" w:pos="2160"/>
          <w:tab w:val="left" w:pos="3330"/>
        </w:tabs>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a detailed discussion demonstrating that the potential and real adverse environmental effects of the proposed facility have been avoided to the maximum extent possible;</w:t>
      </w:r>
    </w:p>
    <w:p w14:paraId="27C10945" w14:textId="77777777" w:rsidR="00326E64" w:rsidRPr="00326E64" w:rsidRDefault="00326E64" w:rsidP="00326E64">
      <w:pPr>
        <w:tabs>
          <w:tab w:val="left" w:pos="720"/>
          <w:tab w:val="left" w:pos="1440"/>
          <w:tab w:val="left" w:pos="2160"/>
          <w:tab w:val="left" w:pos="3330"/>
        </w:tabs>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a cost-benefit analysis that balances the environmental impact costs against the social and economic benefits of the facility and demonstrates that the latter outweigh the former;</w:t>
      </w:r>
    </w:p>
    <w:p w14:paraId="338D559D" w14:textId="77777777" w:rsidR="00326E64" w:rsidRPr="00326E64" w:rsidRDefault="00326E64" w:rsidP="00326E64">
      <w:pPr>
        <w:tabs>
          <w:tab w:val="left" w:pos="720"/>
          <w:tab w:val="left" w:pos="1440"/>
          <w:tab w:val="left" w:pos="2160"/>
          <w:tab w:val="left" w:pos="3330"/>
        </w:tabs>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t>c.</w:t>
      </w:r>
      <w:r w:rsidRPr="00326E64">
        <w:rPr>
          <w:rFonts w:ascii="Times New Roman" w:eastAsia="Calibri" w:hAnsi="Times New Roman" w:cs="Times New Roman"/>
        </w:rPr>
        <w:tab/>
        <w:t>a discussion and description of possible alternative projects that would offer more protection to the environment than the proposed facility without unduly curtailing non</w:t>
      </w:r>
      <w:r w:rsidRPr="00326E64">
        <w:rPr>
          <w:rFonts w:ascii="Times New Roman" w:eastAsia="Calibri" w:hAnsi="Times New Roman" w:cs="Times New Roman"/>
          <w:strike/>
        </w:rPr>
        <w:t>-</w:t>
      </w:r>
      <w:r w:rsidRPr="00326E64">
        <w:rPr>
          <w:rFonts w:ascii="Times New Roman" w:eastAsia="Calibri" w:hAnsi="Times New Roman" w:cs="Times New Roman"/>
        </w:rPr>
        <w:t>environmental benefits;</w:t>
      </w:r>
    </w:p>
    <w:p w14:paraId="501A2EB1" w14:textId="77777777" w:rsidR="00326E64" w:rsidRPr="00326E64" w:rsidRDefault="00326E64" w:rsidP="00326E64">
      <w:pPr>
        <w:tabs>
          <w:tab w:val="left" w:pos="720"/>
          <w:tab w:val="left" w:pos="1440"/>
          <w:tab w:val="left" w:pos="2160"/>
          <w:tab w:val="left" w:pos="3330"/>
        </w:tabs>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d.</w:t>
      </w:r>
      <w:r w:rsidRPr="00326E64">
        <w:rPr>
          <w:rFonts w:ascii="Times New Roman" w:eastAsia="Calibri" w:hAnsi="Times New Roman" w:cs="Times New Roman"/>
        </w:rPr>
        <w:tab/>
        <w:t>a detailed discussion of possible alternative sites that would offer more protection to the environment than the proposed facility site without unduly curtailing non</w:t>
      </w:r>
      <w:r w:rsidRPr="00326E64">
        <w:rPr>
          <w:rFonts w:ascii="Times New Roman" w:eastAsia="Calibri" w:hAnsi="Times New Roman" w:cs="Times New Roman"/>
          <w:strike/>
        </w:rPr>
        <w:t>-</w:t>
      </w:r>
      <w:r w:rsidRPr="00326E64">
        <w:rPr>
          <w:rFonts w:ascii="Times New Roman" w:eastAsia="Calibri" w:hAnsi="Times New Roman" w:cs="Times New Roman"/>
        </w:rPr>
        <w:t>environmental benefits; and</w:t>
      </w:r>
    </w:p>
    <w:p w14:paraId="177E2128" w14:textId="77777777" w:rsidR="00326E64" w:rsidRPr="00326E64" w:rsidRDefault="00326E64" w:rsidP="00326E64">
      <w:pPr>
        <w:tabs>
          <w:tab w:val="left" w:pos="720"/>
          <w:tab w:val="left" w:pos="1440"/>
          <w:tab w:val="left" w:pos="2160"/>
          <w:tab w:val="left" w:pos="3330"/>
        </w:tabs>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e.</w:t>
      </w:r>
      <w:r w:rsidRPr="00326E64">
        <w:rPr>
          <w:rFonts w:ascii="Times New Roman" w:eastAsia="Calibri" w:hAnsi="Times New Roman" w:cs="Times New Roman"/>
        </w:rPr>
        <w:tab/>
        <w:t>a discussion and description of mitigating measures that would offer more protection to the environment than the facility as proposed without unduly curtailing non-environmental benefits.</w:t>
      </w:r>
    </w:p>
    <w:p w14:paraId="5CCAC1BD" w14:textId="77777777" w:rsidR="00326E64" w:rsidRPr="00326E64" w:rsidRDefault="00326E64" w:rsidP="00326E64">
      <w:pPr>
        <w:tabs>
          <w:tab w:val="left" w:pos="720"/>
          <w:tab w:val="left" w:pos="1440"/>
          <w:tab w:val="left" w:pos="2160"/>
          <w:tab w:val="left" w:pos="3330"/>
        </w:tabs>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u w:val="single"/>
        </w:rPr>
        <w:t>E.</w:t>
      </w:r>
      <w:r w:rsidRPr="00326E64">
        <w:rPr>
          <w:rFonts w:ascii="Times New Roman" w:eastAsia="Calibri" w:hAnsi="Times New Roman" w:cs="Times New Roman"/>
          <w:u w:val="single"/>
        </w:rPr>
        <w:tab/>
        <w:t>Sewage Sludge Generators. This Section applies to a person that generates sewage sludge, and does not treat sewage sludge to be disposed at a landfill or other approved sewage sludge treatment facility, does not incinerate sewage sludge, or does not treat sewage sludge for land application.</w:t>
      </w:r>
    </w:p>
    <w:p w14:paraId="69775111" w14:textId="77777777" w:rsidR="00326E64" w:rsidRPr="00326E64" w:rsidRDefault="00326E64" w:rsidP="00326E64">
      <w:pPr>
        <w:tabs>
          <w:tab w:val="left" w:pos="1440"/>
        </w:tabs>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u w:val="single"/>
        </w:rPr>
        <w:t>1.</w:t>
      </w:r>
      <w:r w:rsidRPr="00326E64">
        <w:rPr>
          <w:rFonts w:ascii="Times New Roman" w:eastAsia="Calibri" w:hAnsi="Times New Roman" w:cs="Times New Roman"/>
          <w:u w:val="single"/>
        </w:rPr>
        <w:tab/>
        <w:t>The sewage sludge generator shall prepare an annual report listing the amount of sewage sludge that is pumped out or removed from the sewage treatment system and the name and address of the sewage sludge transporter that pumped out and removed the sewage sludge. The reporting period shall be for a calendar year (January 1 – December 31). The annual report shall be completed and on file by January 28 of each year. The form to be used shall be obtained from the department or department’s website. If no sewage sludge was pumped out or removed from the sewage treatment system during the reporting period, the annual report shall indicate that no sewage sludge was removed.</w:t>
      </w:r>
    </w:p>
    <w:p w14:paraId="216DD81D"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2.</w:t>
      </w:r>
      <w:r w:rsidRPr="00326E64">
        <w:rPr>
          <w:rFonts w:ascii="Times New Roman" w:eastAsia="Calibri" w:hAnsi="Times New Roman" w:cs="Times New Roman"/>
          <w:u w:val="single"/>
        </w:rPr>
        <w:tab/>
        <w:t>The sewage sludge generator shall ensure that the sewage sludge transporter possesses a valid sewage sludge transporter registration with LDEQ.</w:t>
      </w:r>
    </w:p>
    <w:p w14:paraId="0E08895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u w:val="single"/>
        </w:rPr>
        <w:t>3.</w:t>
      </w:r>
      <w:r w:rsidRPr="00326E64">
        <w:rPr>
          <w:rFonts w:ascii="Times New Roman" w:eastAsia="Calibri" w:hAnsi="Times New Roman" w:cs="Times New Roman"/>
          <w:u w:val="single"/>
        </w:rPr>
        <w:tab/>
        <w:t>Provisions shall be made for the clean-up of the facility, including equipment and sewage sludge handling areas where sewage sludge is pumped out and removed from the treatment system.</w:t>
      </w:r>
    </w:p>
    <w:p w14:paraId="78894F9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4.</w:t>
      </w:r>
      <w:r w:rsidRPr="00326E64">
        <w:rPr>
          <w:rFonts w:ascii="Times New Roman" w:eastAsia="Calibri" w:hAnsi="Times New Roman" w:cs="Times New Roman"/>
          <w:u w:val="single"/>
        </w:rPr>
        <w:tab/>
        <w:t>The sewage sludge generator shall maintain all records regarding the pump out and removal of sewage sludge from the treatment system and the name and address of the sewage sludge transporter(s) for five years. The annual reports shall remain on file at the facility and shall  be submitted to the administrative authority upon request.</w:t>
      </w:r>
    </w:p>
    <w:p w14:paraId="46BEC87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u w:val="single"/>
        </w:rPr>
        <w:t>F.</w:t>
      </w:r>
      <w:r w:rsidRPr="00326E64">
        <w:rPr>
          <w:rFonts w:ascii="Times New Roman" w:eastAsia="Calibri" w:hAnsi="Times New Roman" w:cs="Times New Roman"/>
          <w:u w:val="single"/>
        </w:rPr>
        <w:tab/>
        <w:t>Sewage Sludge Receiving Facilities and the Acceptance of Hauled Sewage Sludge. This Section applies to any facility, public or private, that receives hauled biosolids, sewage sludge, and/or sewage sludge mixed with grease waste from an authorized sewage sludge transporter.</w:t>
      </w:r>
    </w:p>
    <w:p w14:paraId="201D660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1.</w:t>
      </w:r>
      <w:r w:rsidRPr="00326E64">
        <w:rPr>
          <w:rFonts w:ascii="Times New Roman" w:eastAsia="Calibri" w:hAnsi="Times New Roman" w:cs="Times New Roman"/>
          <w:u w:val="single"/>
        </w:rPr>
        <w:tab/>
        <w:t>The sewage sludge receiving facility shall be approved by the administrative authority to accept outside hauled biosolids, sewage sludge and/or sewage sludge mixed with grease from food service establishments.</w:t>
      </w:r>
    </w:p>
    <w:p w14:paraId="22E1055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2.</w:t>
      </w:r>
      <w:r w:rsidRPr="00326E64">
        <w:rPr>
          <w:rFonts w:ascii="Times New Roman" w:eastAsia="Calibri" w:hAnsi="Times New Roman" w:cs="Times New Roman"/>
          <w:u w:val="single"/>
        </w:rPr>
        <w:tab/>
        <w:t>Biosolids, sewage sludge and sewage sludge mixed with grease shall be received only at a point designated by the facility. The designated point shall be at the headworks or in the collection system.</w:t>
      </w:r>
    </w:p>
    <w:p w14:paraId="2D96EE2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3.</w:t>
      </w:r>
      <w:r w:rsidRPr="00326E64">
        <w:rPr>
          <w:rFonts w:ascii="Times New Roman" w:eastAsia="Calibri" w:hAnsi="Times New Roman" w:cs="Times New Roman"/>
          <w:u w:val="single"/>
        </w:rPr>
        <w:tab/>
        <w:t>Municipal treatment works treating domestic sewage that receive hauled sewage sludge and/or sewage sludge mixed with grease may not accept greater than three percent of the facility’s expected daily flow in hauled biosolids, sewage sludge, and sewage sludge mixed with grease.</w:t>
      </w:r>
    </w:p>
    <w:p w14:paraId="123AA78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4.</w:t>
      </w:r>
      <w:r w:rsidRPr="00326E64">
        <w:rPr>
          <w:rFonts w:ascii="Times New Roman" w:eastAsia="Calibri" w:hAnsi="Times New Roman" w:cs="Times New Roman"/>
          <w:u w:val="single"/>
        </w:rPr>
        <w:tab/>
        <w:t xml:space="preserve">The sewage sludge receiving facility shall ensure that any truck disposing of hauled biosolids, sewage sludge and/or sewage sludge mixed with grease into the facility is </w:t>
      </w:r>
      <w:r w:rsidRPr="00326E64">
        <w:rPr>
          <w:rFonts w:ascii="Times New Roman" w:eastAsia="Calibri" w:hAnsi="Times New Roman" w:cs="Times New Roman"/>
          <w:u w:val="single"/>
        </w:rPr>
        <w:lastRenderedPageBreak/>
        <w:t>properly authorized by the administrative authority to transport sewage sludge. The receipt of hauled sewage sludge from an unauthorized sewage sludge transporter shall constitute a violation of the sewage sludge receiving facility’s permit and/or these regulations.</w:t>
      </w:r>
    </w:p>
    <w:p w14:paraId="6F38E43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5.</w:t>
      </w:r>
      <w:r w:rsidRPr="00326E64">
        <w:rPr>
          <w:rFonts w:ascii="Times New Roman" w:eastAsia="Calibri" w:hAnsi="Times New Roman" w:cs="Times New Roman"/>
          <w:u w:val="single"/>
        </w:rPr>
        <w:tab/>
        <w:t>Sanitary landfills that accept hauled sewage sludge shall dispose of the sewage sludge in the active cells of the landfill. The acceptance of hauled sewage sludge into an on-site oxidation pond is prohibited. The acceptance of hauled sewage sludge into a treatment facility at the landfill is prohibited, unless otherwise authorized by the administrative authority.  Authorization by the administrative authority may require a modification of an existing permit and/or coverage under a Louisiana Sewage Sludge or Biosolids Use or Disposal Permit.</w:t>
      </w:r>
    </w:p>
    <w:p w14:paraId="74970DF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6.</w:t>
      </w:r>
      <w:r w:rsidRPr="00326E64">
        <w:rPr>
          <w:rFonts w:ascii="Times New Roman" w:eastAsia="Calibri" w:hAnsi="Times New Roman" w:cs="Times New Roman"/>
          <w:u w:val="single"/>
        </w:rPr>
        <w:tab/>
        <w:t>Reporting and Recordkeeping Requirements for Sewage Sludge Receiving Facilities</w:t>
      </w:r>
    </w:p>
    <w:p w14:paraId="61FF480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Manifest System</w:t>
      </w:r>
    </w:p>
    <w:p w14:paraId="197BB85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permittee shall develop and implement a sewage sludge transporter manifest system. The manifest system shall be the primary mechanism by which the facility will identify the quantity and quality of wastes being discharged into the facility. The manifest system also provides a means to ensure only authorized wastes are being introduced into the facility. The manifest system shall require an entry for each load disposed.  The manifest form shall include at a minimum the following information:</w:t>
      </w:r>
    </w:p>
    <w:p w14:paraId="3A5AF1F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name, address and phone number of the sewage sludge transporter;</w:t>
      </w:r>
    </w:p>
    <w:p w14:paraId="4E0151D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license plate number of vehicle/trailer and or container (if present);</w:t>
      </w:r>
    </w:p>
    <w:p w14:paraId="23AD9F6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LDEQ sewage sludge transporter registration number;</w:t>
      </w:r>
    </w:p>
    <w:p w14:paraId="56C8839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sewage sludge generator information (where biosolids, sewage sludge, and/or sewage sludge mixed with grease was generated);</w:t>
      </w:r>
    </w:p>
    <w:p w14:paraId="656CFD8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(e).</w:t>
      </w:r>
      <w:r w:rsidRPr="00326E64">
        <w:rPr>
          <w:rFonts w:ascii="Times New Roman" w:eastAsia="Calibri" w:hAnsi="Times New Roman" w:cs="Times New Roman"/>
          <w:u w:val="single"/>
        </w:rPr>
        <w:tab/>
        <w:t>date sewage sludge and/or sewage sludge mixed with grease was disposed; and</w:t>
      </w:r>
    </w:p>
    <w:p w14:paraId="21476E2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(f).</w:t>
      </w:r>
      <w:r w:rsidRPr="00326E64">
        <w:rPr>
          <w:rFonts w:ascii="Times New Roman" w:eastAsia="Calibri" w:hAnsi="Times New Roman" w:cs="Times New Roman"/>
          <w:u w:val="single"/>
        </w:rPr>
        <w:tab/>
        <w:t>volume of sewage sludge and/or sewage sludge mixed with grease disposed;</w:t>
      </w:r>
    </w:p>
    <w:p w14:paraId="4C58970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location of disposal of the sewage sludge at the receiving facility (e.g. manhole, headworks, etc.); and</w:t>
      </w:r>
    </w:p>
    <w:p w14:paraId="7DA75D8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a copy of the completed, signed, and dated manifest form shall be supplied to the sewage sludge transporter upon discharge of the wastes into the facility. Duplicate forms are permissible.</w:t>
      </w:r>
    </w:p>
    <w:p w14:paraId="18BC10C3"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Annually, the receiving facility shall submit the amount of sewage sludge received by each sewage sludge transporter and a total amount of  sewage sludge received by all sewage sludge transporters in that calendar year, on a form approved by the administrative authority. This report shall be submitted no later than February 19 of each calendar year.</w:t>
      </w:r>
    </w:p>
    <w:p w14:paraId="01DBC11D"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u w:val="single"/>
        </w:rPr>
        <w:t>G</w:t>
      </w:r>
      <w:r w:rsidRPr="00326E64">
        <w:rPr>
          <w:rFonts w:ascii="Times New Roman" w:eastAsia="Calibri" w:hAnsi="Times New Roman" w:cs="Times New Roman"/>
          <w:strike/>
        </w:rPr>
        <w:t>E</w:t>
      </w:r>
      <w:r w:rsidRPr="00326E64">
        <w:rPr>
          <w:rFonts w:ascii="Times New Roman" w:eastAsia="Calibri" w:hAnsi="Times New Roman" w:cs="Times New Roman"/>
        </w:rPr>
        <w:t>.</w:t>
      </w:r>
      <w:r w:rsidRPr="00326E64">
        <w:rPr>
          <w:rFonts w:ascii="Times New Roman" w:eastAsia="Calibri" w:hAnsi="Times New Roman" w:cs="Times New Roman"/>
        </w:rPr>
        <w:tab/>
        <w:t>Sewage Sludge Disposed in a Landfill</w:t>
      </w:r>
    </w:p>
    <w:p w14:paraId="668C38D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1.</w:t>
      </w:r>
      <w:r w:rsidRPr="00326E64">
        <w:rPr>
          <w:rFonts w:ascii="Times New Roman" w:eastAsia="Calibri" w:hAnsi="Times New Roman" w:cs="Times New Roman"/>
        </w:rPr>
        <w:tab/>
        <w:t xml:space="preserve">A landfill where sewage sludge is disposed </w:t>
      </w:r>
      <w:r w:rsidRPr="00326E64">
        <w:rPr>
          <w:rFonts w:ascii="Times New Roman" w:eastAsia="Calibri" w:hAnsi="Times New Roman" w:cs="Times New Roman"/>
          <w:strike/>
        </w:rPr>
        <w:t>must</w:t>
      </w:r>
      <w:r w:rsidRPr="00326E64">
        <w:rPr>
          <w:rFonts w:ascii="Times New Roman" w:eastAsia="Calibri" w:hAnsi="Times New Roman" w:cs="Times New Roman"/>
          <w:u w:val="single"/>
        </w:rPr>
        <w:t>shall</w:t>
      </w:r>
      <w:r w:rsidRPr="00326E64">
        <w:rPr>
          <w:rFonts w:ascii="Times New Roman" w:eastAsia="Calibri" w:hAnsi="Times New Roman" w:cs="Times New Roman"/>
        </w:rPr>
        <w:t xml:space="preserve"> possess a</w:t>
      </w:r>
      <w:r w:rsidRPr="00326E64">
        <w:rPr>
          <w:rFonts w:ascii="Times New Roman" w:eastAsia="Calibri" w:hAnsi="Times New Roman" w:cs="Times New Roman"/>
          <w:u w:val="single"/>
        </w:rPr>
        <w:t>ll required</w:t>
      </w:r>
      <w:r w:rsidRPr="00326E64">
        <w:rPr>
          <w:rFonts w:ascii="Times New Roman" w:eastAsia="Calibri" w:hAnsi="Times New Roman" w:cs="Times New Roman"/>
        </w:rPr>
        <w:t xml:space="preserve"> legal and effective permit</w:t>
      </w:r>
      <w:r w:rsidRPr="00326E64">
        <w:rPr>
          <w:rFonts w:ascii="Times New Roman" w:eastAsia="Calibri" w:hAnsi="Times New Roman" w:cs="Times New Roman"/>
          <w:u w:val="single"/>
        </w:rPr>
        <w:t>(s)</w:t>
      </w:r>
      <w:r w:rsidRPr="00326E64">
        <w:rPr>
          <w:rFonts w:ascii="Times New Roman" w:eastAsia="Calibri" w:hAnsi="Times New Roman" w:cs="Times New Roman"/>
        </w:rPr>
        <w:t>.</w:t>
      </w:r>
    </w:p>
    <w:p w14:paraId="2C6CAE7A"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2.</w:t>
      </w:r>
      <w:r w:rsidRPr="00326E64">
        <w:rPr>
          <w:rFonts w:ascii="Times New Roman" w:eastAsia="Calibri" w:hAnsi="Times New Roman" w:cs="Times New Roman"/>
        </w:rPr>
        <w:tab/>
        <w:t>A person who disposes of sewage sludge in a landfill shall provide the necessary information to the owner/operator of the landfill where the sewage sludge is to be disposed to assure that the landfill will be in compliance with its permit requirements.</w:t>
      </w:r>
    </w:p>
    <w:p w14:paraId="606E552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t>3.</w:t>
      </w:r>
      <w:r w:rsidRPr="00326E64">
        <w:rPr>
          <w:rFonts w:ascii="Times New Roman" w:eastAsia="Calibri" w:hAnsi="Times New Roman" w:cs="Times New Roman"/>
        </w:rPr>
        <w:tab/>
        <w:t xml:space="preserve">The person who prepares sewage sludge that is disposed in a landfill shall provide the following to the </w:t>
      </w:r>
      <w:r w:rsidRPr="00326E64">
        <w:rPr>
          <w:rFonts w:ascii="Times New Roman" w:eastAsia="Calibri" w:hAnsi="Times New Roman" w:cs="Times New Roman"/>
          <w:strike/>
        </w:rPr>
        <w:t>Office of Environmental Services</w:t>
      </w:r>
      <w:r w:rsidRPr="00326E64">
        <w:rPr>
          <w:rFonts w:ascii="Times New Roman" w:eastAsia="Calibri" w:hAnsi="Times New Roman" w:cs="Times New Roman"/>
          <w:u w:val="single"/>
        </w:rPr>
        <w:t xml:space="preserve">administrative authority </w:t>
      </w:r>
      <w:r w:rsidRPr="00326E64">
        <w:rPr>
          <w:rFonts w:ascii="Times New Roman" w:eastAsia="Calibri" w:hAnsi="Times New Roman" w:cs="Times New Roman"/>
        </w:rPr>
        <w:t>on a form specified by the administrative authority on or before February 19 of each year</w:t>
      </w:r>
      <w:r w:rsidRPr="00326E64">
        <w:rPr>
          <w:rFonts w:ascii="Times New Roman" w:eastAsia="Calibri" w:hAnsi="Times New Roman" w:cs="Times New Roman"/>
          <w:strike/>
        </w:rPr>
        <w:t>, or at a frequency designated in the permit</w:t>
      </w:r>
      <w:r w:rsidRPr="00326E64">
        <w:rPr>
          <w:rFonts w:ascii="Times New Roman" w:eastAsia="Calibri" w:hAnsi="Times New Roman" w:cs="Times New Roman"/>
        </w:rPr>
        <w:t>:</w:t>
      </w:r>
    </w:p>
    <w:p w14:paraId="03C5F3B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proof that the sewage sludge is being disposed at an approved landfill, by furnishing the name, address, and permit number of the landfill;</w:t>
      </w:r>
      <w:r w:rsidRPr="00326E64">
        <w:rPr>
          <w:rFonts w:ascii="Times New Roman" w:eastAsia="Calibri" w:hAnsi="Times New Roman" w:cs="Times New Roman"/>
          <w:strike/>
        </w:rPr>
        <w:t xml:space="preserve"> and</w:t>
      </w:r>
    </w:p>
    <w:p w14:paraId="5C247E7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 xml:space="preserve">results of sampling </w:t>
      </w:r>
      <w:r w:rsidRPr="00326E64">
        <w:rPr>
          <w:rFonts w:ascii="Times New Roman" w:eastAsia="Calibri" w:hAnsi="Times New Roman" w:cs="Times New Roman"/>
          <w:u w:val="single"/>
        </w:rPr>
        <w:t xml:space="preserve">(minimum of once/year) </w:t>
      </w:r>
      <w:r w:rsidRPr="00326E64">
        <w:rPr>
          <w:rFonts w:ascii="Times New Roman" w:eastAsia="Calibri" w:hAnsi="Times New Roman" w:cs="Times New Roman"/>
        </w:rPr>
        <w:t>and laboratory analyses of the sewage sludge for hazardous characteristics or the presence of PCBs, of the results of the Paint Filter Liquids Test (if required in the permit), and of any other analysis required by the owner/operator of the landfill</w:t>
      </w:r>
      <w:r w:rsidRPr="00326E64">
        <w:rPr>
          <w:rFonts w:ascii="Times New Roman" w:eastAsia="Calibri" w:hAnsi="Times New Roman" w:cs="Times New Roman"/>
          <w:strike/>
        </w:rPr>
        <w:t>.</w:t>
      </w:r>
      <w:r w:rsidRPr="00326E64">
        <w:rPr>
          <w:rFonts w:ascii="Times New Roman" w:eastAsia="Calibri" w:hAnsi="Times New Roman" w:cs="Times New Roman"/>
          <w:u w:val="single"/>
        </w:rPr>
        <w:t>; and</w:t>
      </w:r>
    </w:p>
    <w:p w14:paraId="7F13744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persons who dispose sewage sludge in a landfill shall maintain all records regarding the landfilling of sewage sludge, including, but not limited to the treatment, laboratory analyses, name and address of the sewage sludge transporter(s), and name and address of the approved receiving landfill for five years.</w:t>
      </w:r>
    </w:p>
    <w:p w14:paraId="2861206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u w:val="single"/>
        </w:rPr>
        <w:t>H</w:t>
      </w:r>
      <w:r w:rsidRPr="00326E64">
        <w:rPr>
          <w:rFonts w:ascii="Times New Roman" w:eastAsia="Calibri" w:hAnsi="Times New Roman" w:cs="Times New Roman"/>
          <w:strike/>
        </w:rPr>
        <w:t>F</w:t>
      </w:r>
      <w:r w:rsidRPr="00326E64">
        <w:rPr>
          <w:rFonts w:ascii="Times New Roman" w:eastAsia="Calibri" w:hAnsi="Times New Roman" w:cs="Times New Roman"/>
        </w:rPr>
        <w:t>.</w:t>
      </w:r>
      <w:r w:rsidRPr="00326E64">
        <w:rPr>
          <w:rFonts w:ascii="Times New Roman" w:eastAsia="Calibri" w:hAnsi="Times New Roman" w:cs="Times New Roman"/>
        </w:rPr>
        <w:tab/>
        <w:t xml:space="preserve">Registration Requirements and Standards for </w:t>
      </w:r>
      <w:r w:rsidRPr="00326E64">
        <w:rPr>
          <w:rFonts w:ascii="Times New Roman" w:eastAsia="Calibri" w:hAnsi="Times New Roman" w:cs="Times New Roman"/>
          <w:u w:val="single"/>
        </w:rPr>
        <w:t xml:space="preserve">Sewage Sludge </w:t>
      </w:r>
      <w:r w:rsidRPr="00326E64">
        <w:rPr>
          <w:rFonts w:ascii="Times New Roman" w:eastAsia="Calibri" w:hAnsi="Times New Roman" w:cs="Times New Roman"/>
        </w:rPr>
        <w:t xml:space="preserve">Transporters </w:t>
      </w:r>
      <w:r w:rsidRPr="00326E64">
        <w:rPr>
          <w:rFonts w:ascii="Times New Roman" w:eastAsia="Calibri" w:hAnsi="Times New Roman" w:cs="Times New Roman"/>
          <w:strike/>
        </w:rPr>
        <w:t xml:space="preserve">of Sewage Sludge </w:t>
      </w:r>
      <w:r w:rsidRPr="00326E64">
        <w:rPr>
          <w:rFonts w:ascii="Times New Roman" w:eastAsia="Calibri" w:hAnsi="Times New Roman" w:cs="Times New Roman"/>
        </w:rPr>
        <w:t>and Standards for Vehicles and/or Containers Used in the Transport of Sewage Sludge</w:t>
      </w:r>
      <w:r w:rsidRPr="00326E64">
        <w:rPr>
          <w:rFonts w:ascii="Times New Roman" w:eastAsia="Calibri" w:hAnsi="Times New Roman" w:cs="Times New Roman"/>
          <w:u w:val="single"/>
        </w:rPr>
        <w:t>. A sewage sludge transporter includes a person who pumps or moves sewage sludge off-site by means of land-based vehicles.</w:t>
      </w:r>
    </w:p>
    <w:p w14:paraId="31253AC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1.</w:t>
      </w:r>
      <w:r w:rsidRPr="00326E64">
        <w:rPr>
          <w:rFonts w:ascii="Times New Roman" w:eastAsia="Calibri" w:hAnsi="Times New Roman" w:cs="Times New Roman"/>
        </w:rPr>
        <w:tab/>
        <w:t>Registration Requirements</w:t>
      </w:r>
    </w:p>
    <w:p w14:paraId="7C4CCDF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 xml:space="preserve">The person responsible for the operations of sewage sludge transport activities shall obtain the sewage sludge transporter registration. Transport activities are not authorized without a current sewage sludge transporter registration issued by the </w:t>
      </w:r>
      <w:r w:rsidRPr="00326E64">
        <w:rPr>
          <w:rFonts w:ascii="Times New Roman" w:eastAsia="Calibri" w:hAnsi="Times New Roman" w:cs="Times New Roman"/>
          <w:u w:val="single"/>
        </w:rPr>
        <w:lastRenderedPageBreak/>
        <w:t>administrative authority. The administrative authority may revoke or deny a sewage sludge transporter registration.</w:t>
      </w:r>
    </w:p>
    <w:p w14:paraId="298574BD"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The person responsible the operations of sewage sludge transport activities shall register all vehicles (vehicles and/or movable containers that contain a state issued license plate) under one sewage sludge transporter registration. Vehicles that transport containers with no license plates (i.e. roll off containers) are not required to be included in the sewage sludge transporter registration.</w:t>
      </w:r>
    </w:p>
    <w:p w14:paraId="7FDC369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strike/>
        </w:rPr>
        <w:t>a</w:t>
      </w:r>
      <w:r w:rsidRPr="00326E64">
        <w:rPr>
          <w:rFonts w:ascii="Times New Roman" w:eastAsia="Calibri" w:hAnsi="Times New Roman" w:cs="Times New Roman"/>
        </w:rPr>
        <w:t>.</w:t>
      </w:r>
      <w:r w:rsidRPr="00326E64">
        <w:rPr>
          <w:rFonts w:ascii="Times New Roman" w:eastAsia="Calibri" w:hAnsi="Times New Roman" w:cs="Times New Roman"/>
        </w:rPr>
        <w:tab/>
        <w:t xml:space="preserve">A transporter of sewage sludge and/or grease mixed with sewage sludge shall not transport any sewage sludge and/or grease mixed with sewage sludge without first registering such activity with the </w:t>
      </w:r>
      <w:r w:rsidRPr="00326E64">
        <w:rPr>
          <w:rFonts w:ascii="Times New Roman" w:eastAsia="Calibri" w:hAnsi="Times New Roman" w:cs="Times New Roman"/>
          <w:strike/>
        </w:rPr>
        <w:t>Office of Environmental Services</w:t>
      </w:r>
      <w:r w:rsidRPr="00326E64">
        <w:rPr>
          <w:rFonts w:ascii="Times New Roman" w:eastAsia="Calibri" w:hAnsi="Times New Roman" w:cs="Times New Roman"/>
          <w:u w:val="single"/>
        </w:rPr>
        <w:t xml:space="preserve">administrative authority </w:t>
      </w:r>
      <w:r w:rsidRPr="00326E64">
        <w:rPr>
          <w:rFonts w:ascii="Times New Roman" w:eastAsia="Calibri" w:hAnsi="Times New Roman" w:cs="Times New Roman"/>
        </w:rPr>
        <w:t>in writing and paying all associated fees.</w:t>
      </w:r>
      <w:r w:rsidRPr="00326E64">
        <w:rPr>
          <w:rFonts w:ascii="Times New Roman" w:eastAsia="Calibri" w:hAnsi="Times New Roman" w:cs="Times New Roman"/>
          <w:u w:val="single"/>
        </w:rPr>
        <w:t xml:space="preserve"> The transporting of grease that is not mixed with sewage sludge is not an activity covered under this Subsection.</w:t>
      </w:r>
    </w:p>
    <w:p w14:paraId="3E267CE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strike/>
        </w:rPr>
        <w:t>b</w:t>
      </w:r>
      <w:r w:rsidRPr="00326E64">
        <w:rPr>
          <w:rFonts w:ascii="Times New Roman" w:eastAsia="Calibri" w:hAnsi="Times New Roman" w:cs="Times New Roman"/>
        </w:rPr>
        <w:t>.</w:t>
      </w:r>
      <w:r w:rsidRPr="00326E64">
        <w:rPr>
          <w:rFonts w:ascii="Times New Roman" w:eastAsia="Calibri" w:hAnsi="Times New Roman" w:cs="Times New Roman"/>
        </w:rPr>
        <w:tab/>
      </w:r>
      <w:r w:rsidRPr="00326E64">
        <w:rPr>
          <w:rFonts w:ascii="Times New Roman" w:eastAsia="Calibri" w:hAnsi="Times New Roman" w:cs="Times New Roman"/>
          <w:u w:val="single"/>
        </w:rPr>
        <w:t>The person responsible for the operations of sewage sludge transport activities shall apply for r</w:t>
      </w:r>
      <w:r w:rsidRPr="00326E64">
        <w:rPr>
          <w:rFonts w:ascii="Times New Roman" w:eastAsia="Calibri" w:hAnsi="Times New Roman" w:cs="Times New Roman"/>
          <w:strike/>
        </w:rPr>
        <w:t>R</w:t>
      </w:r>
      <w:r w:rsidRPr="00326E64">
        <w:rPr>
          <w:rFonts w:ascii="Times New Roman" w:eastAsia="Calibri" w:hAnsi="Times New Roman" w:cs="Times New Roman"/>
        </w:rPr>
        <w:t xml:space="preserve">egistration </w:t>
      </w:r>
      <w:r w:rsidRPr="00326E64">
        <w:rPr>
          <w:rFonts w:ascii="Times New Roman" w:eastAsia="Calibri" w:hAnsi="Times New Roman" w:cs="Times New Roman"/>
          <w:strike/>
        </w:rPr>
        <w:t>shall be</w:t>
      </w:r>
      <w:r w:rsidRPr="00326E64">
        <w:rPr>
          <w:rFonts w:ascii="Times New Roman" w:eastAsia="Calibri" w:hAnsi="Times New Roman" w:cs="Times New Roman"/>
        </w:rPr>
        <w:t xml:space="preserve"> through a form obtained from the </w:t>
      </w:r>
      <w:r w:rsidRPr="00326E64">
        <w:rPr>
          <w:rFonts w:ascii="Times New Roman" w:eastAsia="Calibri" w:hAnsi="Times New Roman" w:cs="Times New Roman"/>
          <w:strike/>
        </w:rPr>
        <w:t>Office of Environmental Services</w:t>
      </w:r>
      <w:r w:rsidRPr="00326E64">
        <w:rPr>
          <w:rFonts w:ascii="Times New Roman" w:eastAsia="Calibri" w:hAnsi="Times New Roman" w:cs="Times New Roman"/>
          <w:u w:val="single"/>
        </w:rPr>
        <w:t>department</w:t>
      </w:r>
      <w:r w:rsidRPr="00326E64">
        <w:rPr>
          <w:rFonts w:ascii="Times New Roman" w:eastAsia="Calibri" w:hAnsi="Times New Roman" w:cs="Times New Roman"/>
        </w:rPr>
        <w:t xml:space="preserve"> or department’s website. All information required by the form</w:t>
      </w:r>
      <w:r w:rsidRPr="00326E64">
        <w:rPr>
          <w:rFonts w:ascii="Times New Roman" w:eastAsia="Calibri" w:hAnsi="Times New Roman" w:cs="Times New Roman"/>
          <w:u w:val="single"/>
        </w:rPr>
        <w:t>, or requested by the department,</w:t>
      </w:r>
      <w:r w:rsidRPr="00326E64">
        <w:rPr>
          <w:rFonts w:ascii="Times New Roman" w:eastAsia="Calibri" w:hAnsi="Times New Roman" w:cs="Times New Roman"/>
        </w:rPr>
        <w:t xml:space="preserve"> shall be provided. The method of payment of fees shall be in accordance with LAC 33:IX.1309.</w:t>
      </w:r>
    </w:p>
    <w:p w14:paraId="6593233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e</w:t>
      </w:r>
      <w:r w:rsidRPr="00326E64">
        <w:rPr>
          <w:rFonts w:ascii="Times New Roman" w:eastAsia="Calibri" w:hAnsi="Times New Roman" w:cs="Times New Roman"/>
          <w:strike/>
        </w:rPr>
        <w:t>c</w:t>
      </w:r>
      <w:r w:rsidRPr="00326E64">
        <w:rPr>
          <w:rFonts w:ascii="Times New Roman" w:eastAsia="Calibri" w:hAnsi="Times New Roman" w:cs="Times New Roman"/>
        </w:rPr>
        <w:t>.</w:t>
      </w:r>
      <w:r w:rsidRPr="00326E64">
        <w:rPr>
          <w:rFonts w:ascii="Times New Roman" w:eastAsia="Calibri" w:hAnsi="Times New Roman" w:cs="Times New Roman"/>
        </w:rPr>
        <w:tab/>
        <w:t xml:space="preserve">The registration period shall be for one state fiscal year period of July 1 to June 30. All registrations shall expire on June 30 of each year. If a person wishes to continue the operation of transporting sewage sludge, </w:t>
      </w:r>
      <w:r w:rsidRPr="00326E64">
        <w:rPr>
          <w:rFonts w:ascii="Times New Roman" w:eastAsia="Calibri" w:hAnsi="Times New Roman" w:cs="Times New Roman"/>
          <w:strike/>
        </w:rPr>
        <w:t>he or she</w:t>
      </w:r>
      <w:r w:rsidRPr="00326E64">
        <w:rPr>
          <w:rFonts w:ascii="Times New Roman" w:eastAsia="Calibri" w:hAnsi="Times New Roman" w:cs="Times New Roman"/>
          <w:u w:val="single"/>
        </w:rPr>
        <w:t xml:space="preserve">the person responsible for the operations of sewage sludge transport activities </w:t>
      </w:r>
      <w:r w:rsidRPr="00326E64">
        <w:rPr>
          <w:rFonts w:ascii="Times New Roman" w:eastAsia="Calibri" w:hAnsi="Times New Roman" w:cs="Times New Roman"/>
        </w:rPr>
        <w:t xml:space="preserve">shall apply for re-registration to the </w:t>
      </w:r>
      <w:r w:rsidRPr="00326E64">
        <w:rPr>
          <w:rFonts w:ascii="Times New Roman" w:eastAsia="Calibri" w:hAnsi="Times New Roman" w:cs="Times New Roman"/>
          <w:strike/>
        </w:rPr>
        <w:t>Office of Environmental Services</w:t>
      </w:r>
      <w:r w:rsidRPr="00326E64">
        <w:rPr>
          <w:rFonts w:ascii="Times New Roman" w:eastAsia="Calibri" w:hAnsi="Times New Roman" w:cs="Times New Roman"/>
          <w:u w:val="single"/>
        </w:rPr>
        <w:t xml:space="preserve">administrative authority </w:t>
      </w:r>
      <w:r w:rsidRPr="00326E64">
        <w:rPr>
          <w:rFonts w:ascii="Times New Roman" w:eastAsia="Calibri" w:hAnsi="Times New Roman" w:cs="Times New Roman"/>
        </w:rPr>
        <w:t>on or before May 1 of each year.</w:t>
      </w:r>
      <w:r w:rsidRPr="00326E64">
        <w:rPr>
          <w:rFonts w:ascii="Times New Roman" w:eastAsia="Calibri" w:hAnsi="Times New Roman" w:cs="Times New Roman"/>
          <w:u w:val="single"/>
        </w:rPr>
        <w:t xml:space="preserve"> Initial applications received between July 1 and March 30 will receive a registration for that fiscal year </w:t>
      </w:r>
      <w:r w:rsidRPr="00326E64">
        <w:rPr>
          <w:rFonts w:ascii="Times New Roman" w:eastAsia="Calibri" w:hAnsi="Times New Roman" w:cs="Times New Roman"/>
          <w:u w:val="single"/>
        </w:rPr>
        <w:lastRenderedPageBreak/>
        <w:t>(July 1 through June 30); those initial applications received after March 30 will receive a registration for the remainder of that fiscal year in addition to the next fiscal year.</w:t>
      </w:r>
    </w:p>
    <w:p w14:paraId="58BA67F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f</w:t>
      </w:r>
      <w:r w:rsidRPr="00326E64">
        <w:rPr>
          <w:rFonts w:ascii="Times New Roman" w:eastAsia="Calibri" w:hAnsi="Times New Roman" w:cs="Times New Roman"/>
          <w:strike/>
        </w:rPr>
        <w:t>d</w:t>
      </w:r>
      <w:r w:rsidRPr="00326E64">
        <w:rPr>
          <w:rFonts w:ascii="Times New Roman" w:eastAsia="Calibri" w:hAnsi="Times New Roman" w:cs="Times New Roman"/>
        </w:rPr>
        <w:t>.</w:t>
      </w:r>
      <w:r w:rsidRPr="00326E64">
        <w:rPr>
          <w:rFonts w:ascii="Times New Roman" w:eastAsia="Calibri" w:hAnsi="Times New Roman" w:cs="Times New Roman"/>
        </w:rPr>
        <w:tab/>
        <w:t>The fee for registration shall be an annual fee of $110.</w:t>
      </w:r>
    </w:p>
    <w:p w14:paraId="0232718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g</w:t>
      </w:r>
      <w:r w:rsidRPr="00326E64">
        <w:rPr>
          <w:rFonts w:ascii="Times New Roman" w:eastAsia="Calibri" w:hAnsi="Times New Roman" w:cs="Times New Roman"/>
          <w:strike/>
        </w:rPr>
        <w:t>e</w:t>
      </w:r>
      <w:r w:rsidRPr="00326E64">
        <w:rPr>
          <w:rFonts w:ascii="Times New Roman" w:eastAsia="Calibri" w:hAnsi="Times New Roman" w:cs="Times New Roman"/>
        </w:rPr>
        <w:t>.</w:t>
      </w:r>
      <w:r w:rsidRPr="00326E64">
        <w:rPr>
          <w:rFonts w:ascii="Times New Roman" w:eastAsia="Calibri" w:hAnsi="Times New Roman" w:cs="Times New Roman"/>
        </w:rPr>
        <w:tab/>
        <w:t xml:space="preserve">The </w:t>
      </w:r>
      <w:r w:rsidRPr="00326E64">
        <w:rPr>
          <w:rFonts w:ascii="Times New Roman" w:eastAsia="Calibri" w:hAnsi="Times New Roman" w:cs="Times New Roman"/>
          <w:strike/>
        </w:rPr>
        <w:t>Office of Environmental Services</w:t>
      </w:r>
      <w:r w:rsidRPr="00326E64">
        <w:rPr>
          <w:rFonts w:ascii="Times New Roman" w:eastAsia="Calibri" w:hAnsi="Times New Roman" w:cs="Times New Roman"/>
          <w:u w:val="single"/>
        </w:rPr>
        <w:t xml:space="preserve">administrative authority </w:t>
      </w:r>
      <w:r w:rsidRPr="00326E64">
        <w:rPr>
          <w:rFonts w:ascii="Times New Roman" w:eastAsia="Calibri" w:hAnsi="Times New Roman" w:cs="Times New Roman"/>
        </w:rPr>
        <w:t>shall be notified prior to any modification to the information submitted for registration, including, but not limited to, the following:</w:t>
      </w:r>
    </w:p>
    <w:p w14:paraId="643A0DE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removal and/or addition of information about the facility to which the sewage sludge is being transported;</w:t>
      </w:r>
    </w:p>
    <w:p w14:paraId="22332F4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strike/>
        </w:rPr>
        <w:t>i</w:t>
      </w:r>
      <w:r w:rsidRPr="00326E64">
        <w:rPr>
          <w:rFonts w:ascii="Times New Roman" w:eastAsia="Calibri" w:hAnsi="Times New Roman" w:cs="Times New Roman"/>
        </w:rPr>
        <w:t>.</w:t>
      </w:r>
      <w:r w:rsidRPr="00326E64">
        <w:rPr>
          <w:rFonts w:ascii="Times New Roman" w:eastAsia="Calibri" w:hAnsi="Times New Roman" w:cs="Times New Roman"/>
        </w:rPr>
        <w:tab/>
      </w:r>
      <w:r w:rsidRPr="00326E64">
        <w:rPr>
          <w:rFonts w:ascii="Times New Roman" w:eastAsia="Calibri" w:hAnsi="Times New Roman" w:cs="Times New Roman"/>
          <w:strike/>
        </w:rPr>
        <w:t xml:space="preserve">and </w:t>
      </w:r>
      <w:r w:rsidRPr="00326E64">
        <w:rPr>
          <w:rFonts w:ascii="Times New Roman" w:eastAsia="Calibri" w:hAnsi="Times New Roman" w:cs="Times New Roman"/>
        </w:rPr>
        <w:t xml:space="preserve">the removal and/or addition of a vehicle that will be utilized for the transporting of </w:t>
      </w:r>
      <w:r w:rsidRPr="00326E64">
        <w:rPr>
          <w:rFonts w:ascii="Times New Roman" w:eastAsia="Calibri" w:hAnsi="Times New Roman" w:cs="Times New Roman"/>
          <w:u w:val="single"/>
        </w:rPr>
        <w:t xml:space="preserve">biosolids, </w:t>
      </w:r>
      <w:r w:rsidRPr="00326E64">
        <w:rPr>
          <w:rFonts w:ascii="Times New Roman" w:eastAsia="Calibri" w:hAnsi="Times New Roman" w:cs="Times New Roman"/>
        </w:rPr>
        <w:t>sewage sludge</w:t>
      </w:r>
      <w:r w:rsidRPr="00326E64">
        <w:rPr>
          <w:rFonts w:ascii="Times New Roman" w:eastAsia="Calibri" w:hAnsi="Times New Roman" w:cs="Times New Roman"/>
          <w:u w:val="single"/>
        </w:rPr>
        <w:t>, and or sewage sludge mixed with grease waste</w:t>
      </w:r>
      <w:r w:rsidRPr="00326E64">
        <w:rPr>
          <w:rFonts w:ascii="Times New Roman" w:eastAsia="Calibri" w:hAnsi="Times New Roman" w:cs="Times New Roman"/>
          <w:strike/>
        </w:rPr>
        <w:t>/biosolids.</w:t>
      </w:r>
      <w:r w:rsidRPr="00326E64">
        <w:rPr>
          <w:rFonts w:ascii="Times New Roman" w:eastAsia="Calibri" w:hAnsi="Times New Roman" w:cs="Times New Roman"/>
          <w:u w:val="single"/>
        </w:rPr>
        <w:t>;</w:t>
      </w:r>
    </w:p>
    <w:p w14:paraId="20AAA78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strike/>
        </w:rPr>
        <w:t>i</w:t>
      </w:r>
      <w:r w:rsidRPr="00326E64">
        <w:rPr>
          <w:rFonts w:ascii="Times New Roman" w:eastAsia="Calibri" w:hAnsi="Times New Roman" w:cs="Times New Roman"/>
        </w:rPr>
        <w:t>.</w:t>
      </w:r>
      <w:r w:rsidRPr="00326E64">
        <w:rPr>
          <w:rFonts w:ascii="Times New Roman" w:eastAsia="Calibri" w:hAnsi="Times New Roman" w:cs="Times New Roman"/>
        </w:rPr>
        <w:tab/>
      </w:r>
      <w:r w:rsidRPr="00326E64">
        <w:rPr>
          <w:rFonts w:ascii="Times New Roman" w:eastAsia="Calibri" w:hAnsi="Times New Roman" w:cs="Times New Roman"/>
          <w:u w:val="single"/>
        </w:rPr>
        <w:t>change in vehicle information (license plate number(s) and/or registered owner(s));</w:t>
      </w:r>
    </w:p>
    <w:p w14:paraId="4DE9472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rPr>
        <w:tab/>
      </w:r>
      <w:r w:rsidRPr="00326E64">
        <w:rPr>
          <w:rFonts w:ascii="Times New Roman" w:eastAsia="Calibri" w:hAnsi="Times New Roman" w:cs="Times New Roman"/>
          <w:u w:val="single"/>
        </w:rPr>
        <w:t>change of company name; and</w:t>
      </w:r>
    </w:p>
    <w:p w14:paraId="095C431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iv.</w:t>
      </w:r>
      <w:r w:rsidRPr="00326E64">
        <w:rPr>
          <w:rFonts w:ascii="Times New Roman" w:eastAsia="Calibri" w:hAnsi="Times New Roman" w:cs="Times New Roman"/>
        </w:rPr>
        <w:tab/>
      </w:r>
      <w:r w:rsidRPr="00326E64">
        <w:rPr>
          <w:rFonts w:ascii="Times New Roman" w:eastAsia="Calibri" w:hAnsi="Times New Roman" w:cs="Times New Roman"/>
          <w:u w:val="single"/>
        </w:rPr>
        <w:t>transfer of ownership of a company.</w:t>
      </w:r>
    </w:p>
    <w:p w14:paraId="3387B17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2.</w:t>
      </w:r>
      <w:r w:rsidRPr="00326E64">
        <w:rPr>
          <w:rFonts w:ascii="Times New Roman" w:eastAsia="Calibri" w:hAnsi="Times New Roman" w:cs="Times New Roman"/>
          <w:u w:val="single"/>
        </w:rPr>
        <w:tab/>
        <w:t>Subcontracting of Sewage Sludge Transporting Activities</w:t>
      </w:r>
    </w:p>
    <w:p w14:paraId="77AFD45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Pick-up, hauling, and disposal of sewage sludge may be subcontracted to another company by the registered sewage sludge transporter, provided the following are met.</w:t>
      </w:r>
    </w:p>
    <w:p w14:paraId="2F7294C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All vehicles used while subcontracting work shall be included on the approved sewage sludge transporter registration issued by the department.</w:t>
      </w:r>
    </w:p>
    <w:p w14:paraId="59C186F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All pick-up, hauling, and disposal of biosolids, sewage sludge, and/or sewage sludge mixed with grease waste shall be reported under the registered sewage sludge transporter that hired a subcontractor.</w:t>
      </w:r>
    </w:p>
    <w:p w14:paraId="70632C7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The registered sewage sludge transporter shall be responsible for ensuring that all sewage sludge transport activities are conducted in a manner that meets all registration requirements and applicable regulations.</w:t>
      </w:r>
    </w:p>
    <w:p w14:paraId="27AE75D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3</w:t>
      </w:r>
      <w:r w:rsidRPr="00326E64">
        <w:rPr>
          <w:rFonts w:ascii="Times New Roman" w:eastAsia="Calibri" w:hAnsi="Times New Roman" w:cs="Times New Roman"/>
          <w:strike/>
        </w:rPr>
        <w:t>2</w:t>
      </w:r>
      <w:r w:rsidRPr="00326E64">
        <w:rPr>
          <w:rFonts w:ascii="Times New Roman" w:eastAsia="Calibri" w:hAnsi="Times New Roman" w:cs="Times New Roman"/>
          <w:u w:val="single"/>
        </w:rPr>
        <w:t>.</w:t>
      </w:r>
      <w:r w:rsidRPr="00326E64">
        <w:rPr>
          <w:rFonts w:ascii="Times New Roman" w:eastAsia="Calibri" w:hAnsi="Times New Roman" w:cs="Times New Roman"/>
        </w:rPr>
        <w:tab/>
        <w:t>Standards for All Transporters of Sewage Sludge</w:t>
      </w:r>
    </w:p>
    <w:p w14:paraId="6AEB055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All transporters of sewage sludge and/or grease mixed with sewage sludge shall transport the sewage sludge and/or grease mixed with sewage sludge only to a facility permitted to receive sewage sludge or mixtures thereof, and shall maintain a daily log or record of activities containing the following information regarding the sewage sludge and/or grease mixed with sewage sludge:</w:t>
      </w:r>
    </w:p>
    <w:p w14:paraId="55385403"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the date the transported material was obtained, pumped, or removed;</w:t>
      </w:r>
    </w:p>
    <w:p w14:paraId="6CFBD18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w:t>
      </w:r>
      <w:r w:rsidRPr="00326E64">
        <w:rPr>
          <w:rFonts w:ascii="Times New Roman" w:eastAsia="Calibri" w:hAnsi="Times New Roman" w:cs="Times New Roman"/>
        </w:rPr>
        <w:tab/>
        <w:t>the origin or source of the material;</w:t>
      </w:r>
    </w:p>
    <w:p w14:paraId="13A20B1A"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iii.</w:t>
      </w:r>
      <w:r w:rsidRPr="00326E64">
        <w:rPr>
          <w:rFonts w:ascii="Times New Roman" w:eastAsia="Calibri" w:hAnsi="Times New Roman" w:cs="Times New Roman"/>
        </w:rPr>
        <w:tab/>
        <w:t>the volume of material generated at each site;</w:t>
      </w:r>
    </w:p>
    <w:p w14:paraId="4A909D0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iv.</w:t>
      </w:r>
      <w:r w:rsidRPr="00326E64">
        <w:rPr>
          <w:rFonts w:ascii="Times New Roman" w:eastAsia="Calibri" w:hAnsi="Times New Roman" w:cs="Times New Roman"/>
        </w:rPr>
        <w:tab/>
        <w:t>the transfer and/or disposal site; and</w:t>
      </w:r>
    </w:p>
    <w:p w14:paraId="28E4819D"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v.</w:t>
      </w:r>
      <w:r w:rsidRPr="00326E64">
        <w:rPr>
          <w:rFonts w:ascii="Times New Roman" w:eastAsia="Calibri" w:hAnsi="Times New Roman" w:cs="Times New Roman"/>
        </w:rPr>
        <w:tab/>
        <w:t>the total amount of material that was transported or disposed.</w:t>
      </w:r>
    </w:p>
    <w:p w14:paraId="614D31B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 xml:space="preserve">Transporters of sewage sludge and/or grease mixed with sewage sludge shall provide a summary of the information required in Subparagraph </w:t>
      </w:r>
      <w:r w:rsidRPr="00326E64">
        <w:rPr>
          <w:rFonts w:ascii="Times New Roman" w:eastAsia="Calibri" w:hAnsi="Times New Roman" w:cs="Times New Roman"/>
          <w:u w:val="single"/>
        </w:rPr>
        <w:t>H</w:t>
      </w:r>
      <w:r w:rsidRPr="00326E64">
        <w:rPr>
          <w:rFonts w:ascii="Times New Roman" w:eastAsia="Calibri" w:hAnsi="Times New Roman" w:cs="Times New Roman"/>
          <w:strike/>
        </w:rPr>
        <w:t>F</w:t>
      </w:r>
      <w:r w:rsidRPr="00326E64">
        <w:rPr>
          <w:rFonts w:ascii="Times New Roman" w:eastAsia="Calibri" w:hAnsi="Times New Roman" w:cs="Times New Roman"/>
        </w:rPr>
        <w:t>.</w:t>
      </w:r>
      <w:r w:rsidRPr="00326E64">
        <w:rPr>
          <w:rFonts w:ascii="Times New Roman" w:eastAsia="Calibri" w:hAnsi="Times New Roman" w:cs="Times New Roman"/>
          <w:u w:val="single"/>
        </w:rPr>
        <w:t>3</w:t>
      </w:r>
      <w:r w:rsidRPr="00326E64">
        <w:rPr>
          <w:rFonts w:ascii="Times New Roman" w:eastAsia="Calibri" w:hAnsi="Times New Roman" w:cs="Times New Roman"/>
          <w:strike/>
        </w:rPr>
        <w:t>2</w:t>
      </w:r>
      <w:r w:rsidRPr="00326E64">
        <w:rPr>
          <w:rFonts w:ascii="Times New Roman" w:eastAsia="Calibri" w:hAnsi="Times New Roman" w:cs="Times New Roman"/>
        </w:rPr>
        <w:t xml:space="preserve">.a. of this Section to the </w:t>
      </w:r>
      <w:r w:rsidRPr="00326E64">
        <w:rPr>
          <w:rFonts w:ascii="Times New Roman" w:eastAsia="Calibri" w:hAnsi="Times New Roman" w:cs="Times New Roman"/>
          <w:strike/>
        </w:rPr>
        <w:t>Office of Environmental Services</w:t>
      </w:r>
      <w:r w:rsidRPr="00326E64">
        <w:rPr>
          <w:rFonts w:ascii="Times New Roman" w:eastAsia="Calibri" w:hAnsi="Times New Roman" w:cs="Times New Roman"/>
          <w:u w:val="single"/>
        </w:rPr>
        <w:t xml:space="preserve">administrative authority </w:t>
      </w:r>
      <w:r w:rsidRPr="00326E64">
        <w:rPr>
          <w:rFonts w:ascii="Times New Roman" w:eastAsia="Calibri" w:hAnsi="Times New Roman" w:cs="Times New Roman"/>
        </w:rPr>
        <w:t>on or before February 19 of each year on a form specified by the administrative authority.</w:t>
      </w:r>
      <w:r w:rsidRPr="00326E64">
        <w:rPr>
          <w:rFonts w:ascii="Times New Roman" w:eastAsia="Calibri" w:hAnsi="Times New Roman" w:cs="Times New Roman"/>
          <w:u w:val="single"/>
        </w:rPr>
        <w:t xml:space="preserve"> The summary of </w:t>
      </w:r>
      <w:r w:rsidRPr="00326E64">
        <w:rPr>
          <w:rFonts w:ascii="Times New Roman" w:eastAsia="Calibri" w:hAnsi="Times New Roman" w:cs="Times New Roman"/>
          <w:u w:val="single"/>
        </w:rPr>
        <w:lastRenderedPageBreak/>
        <w:t>information, to be submitted to the department, shall be for the previous calendar year of January 1 through December 31.</w:t>
      </w:r>
    </w:p>
    <w:p w14:paraId="6979E0F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The registered transporter that hired the subcontractor shall include the summary of information required in Subparagraph H.2.a on their annual report for all subcontracted work. A separate report for subcontractors is not required.</w:t>
      </w:r>
    </w:p>
    <w:p w14:paraId="03B97F7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All transporters of biosolids, sewage sludge, and or sewage sludge mixed with grease waste shall maintain records for a period of no less than five years.</w:t>
      </w:r>
    </w:p>
    <w:p w14:paraId="7E5BB02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e.</w:t>
      </w:r>
      <w:r w:rsidRPr="00326E64">
        <w:rPr>
          <w:rFonts w:ascii="Times New Roman" w:eastAsia="Calibri" w:hAnsi="Times New Roman" w:cs="Times New Roman"/>
          <w:u w:val="single"/>
        </w:rPr>
        <w:tab/>
        <w:t>Stationary Containers Used for Storage of Hauled Sewage Sludge</w:t>
      </w:r>
    </w:p>
    <w:p w14:paraId="1E80A8C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u w:val="single"/>
        </w:rPr>
        <w:t>.</w:t>
      </w:r>
      <w:r w:rsidRPr="00326E64">
        <w:rPr>
          <w:rFonts w:ascii="Times New Roman" w:eastAsia="Calibri" w:hAnsi="Times New Roman" w:cs="Times New Roman"/>
          <w:u w:val="single"/>
        </w:rPr>
        <w:tab/>
        <w:t>Stationary containers may be used to store hauled sewage sludge provided they meet the standards listed in Subparagraph H.3.f of this Subsection.</w:t>
      </w:r>
    </w:p>
    <w:p w14:paraId="48D8669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Underground containers are prohibited for storage of  hauled sewage sludge.</w:t>
      </w:r>
    </w:p>
    <w:p w14:paraId="30E559F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Hauled sewage sludge shall not be stored in containers for more than six consecutive months at a time.</w:t>
      </w:r>
    </w:p>
    <w:p w14:paraId="69B95D2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f</w:t>
      </w:r>
      <w:r w:rsidRPr="00326E64">
        <w:rPr>
          <w:rFonts w:ascii="Times New Roman" w:eastAsia="Calibri" w:hAnsi="Times New Roman" w:cs="Times New Roman"/>
          <w:strike/>
        </w:rPr>
        <w:t>c</w:t>
      </w:r>
      <w:r w:rsidRPr="00326E64">
        <w:rPr>
          <w:rFonts w:ascii="Times New Roman" w:eastAsia="Calibri" w:hAnsi="Times New Roman" w:cs="Times New Roman"/>
        </w:rPr>
        <w:t>.</w:t>
      </w:r>
      <w:r w:rsidRPr="00326E64">
        <w:rPr>
          <w:rFonts w:ascii="Times New Roman" w:eastAsia="Calibri" w:hAnsi="Times New Roman" w:cs="Times New Roman"/>
        </w:rPr>
        <w:tab/>
        <w:t>Standards Applicable to Vehicles and/or Containers Used to Transport Sewage Sludge</w:t>
      </w:r>
    </w:p>
    <w:p w14:paraId="0736934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 xml:space="preserve">The bodies of vehicles and/or containers transporting sewage sludge </w:t>
      </w:r>
      <w:r w:rsidRPr="00326E64">
        <w:rPr>
          <w:rFonts w:ascii="Times New Roman" w:eastAsia="Calibri" w:hAnsi="Times New Roman" w:cs="Times New Roman"/>
          <w:strike/>
        </w:rPr>
        <w:t>must</w:t>
      </w:r>
      <w:r w:rsidRPr="00326E64">
        <w:rPr>
          <w:rFonts w:ascii="Times New Roman" w:eastAsia="Calibri" w:hAnsi="Times New Roman" w:cs="Times New Roman"/>
          <w:u w:val="single"/>
        </w:rPr>
        <w:t>shall</w:t>
      </w:r>
      <w:r w:rsidRPr="00326E64">
        <w:rPr>
          <w:rFonts w:ascii="Times New Roman" w:eastAsia="Calibri" w:hAnsi="Times New Roman" w:cs="Times New Roman"/>
        </w:rPr>
        <w:t xml:space="preserve"> be covered at all times, except during loading and unloading, in a manner that prevents rain from reaching the sewage sludge, inhibits access by disease vectors, prevents the sewage sludge from falling or blowing from the vehicle and/or container, minimizes escape of odors, and does not create a nuisance.</w:t>
      </w:r>
    </w:p>
    <w:p w14:paraId="53BBFD6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w:t>
      </w:r>
      <w:r w:rsidRPr="00326E64">
        <w:rPr>
          <w:rFonts w:ascii="Times New Roman" w:eastAsia="Calibri" w:hAnsi="Times New Roman" w:cs="Times New Roman"/>
        </w:rPr>
        <w:tab/>
        <w:t xml:space="preserve">The bodies of vehicles and/or containers that are utilized to transport liquefied sewage sludge or a sewage sludge that is capable of producing a leachate shall </w:t>
      </w:r>
      <w:r w:rsidRPr="00326E64">
        <w:rPr>
          <w:rFonts w:ascii="Times New Roman" w:eastAsia="Calibri" w:hAnsi="Times New Roman" w:cs="Times New Roman"/>
        </w:rPr>
        <w:lastRenderedPageBreak/>
        <w:t>be constructed and/or enclosed with an appropriate material that will completely prevent the leakage or spillage of the liquid.</w:t>
      </w:r>
    </w:p>
    <w:p w14:paraId="6DF53B9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iii.</w:t>
      </w:r>
      <w:r w:rsidRPr="00326E64">
        <w:rPr>
          <w:rFonts w:ascii="Times New Roman" w:eastAsia="Calibri" w:hAnsi="Times New Roman" w:cs="Times New Roman"/>
        </w:rPr>
        <w:tab/>
        <w:t>The exterior and interior of the body of a vehicle and/or container that is transporting sewage sludge shall be washed, at a designated washdown area, as often as needed to ensure against accumulation of sewage sludge and/or biosolids, and for the prevention of odors and disease vector attraction.</w:t>
      </w:r>
    </w:p>
    <w:p w14:paraId="73FD2F7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iv.</w:t>
      </w:r>
      <w:r w:rsidRPr="00326E64">
        <w:rPr>
          <w:rFonts w:ascii="Times New Roman" w:eastAsia="Calibri" w:hAnsi="Times New Roman" w:cs="Times New Roman"/>
        </w:rPr>
        <w:tab/>
        <w:t>The vehicle and/or container washdown area shall be designed, constructed, and operated to prevent groundwater contamination and stormwater run-on and runoff.</w:t>
      </w:r>
    </w:p>
    <w:p w14:paraId="5313711A"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v.</w:t>
      </w:r>
      <w:r w:rsidRPr="00326E64">
        <w:rPr>
          <w:rFonts w:ascii="Times New Roman" w:eastAsia="Calibri" w:hAnsi="Times New Roman" w:cs="Times New Roman"/>
        </w:rPr>
        <w:tab/>
        <w:t>All water and leachate generated at the designated washdown area shall be contained and discharged in accordance with all applicable state and federal regulations or hauled off-site for proper treatment and/or disposal.</w:t>
      </w:r>
    </w:p>
    <w:p w14:paraId="2BE6D02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g</w:t>
      </w:r>
      <w:r w:rsidRPr="00326E64">
        <w:rPr>
          <w:rFonts w:ascii="Times New Roman" w:eastAsia="Calibri" w:hAnsi="Times New Roman" w:cs="Times New Roman"/>
          <w:strike/>
        </w:rPr>
        <w:t>d</w:t>
      </w:r>
      <w:r w:rsidRPr="00326E64">
        <w:rPr>
          <w:rFonts w:ascii="Times New Roman" w:eastAsia="Calibri" w:hAnsi="Times New Roman" w:cs="Times New Roman"/>
        </w:rPr>
        <w:t>.</w:t>
      </w:r>
      <w:r w:rsidRPr="00326E64">
        <w:rPr>
          <w:rFonts w:ascii="Times New Roman" w:eastAsia="Calibri" w:hAnsi="Times New Roman" w:cs="Times New Roman"/>
        </w:rPr>
        <w:tab/>
        <w:t>Standards for Sewage Sludge Pipelines and Containment Areas</w:t>
      </w:r>
    </w:p>
    <w:p w14:paraId="50CD577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Transfer points, pumping stations, and other facilities with a potential for spillage shall be located above grade, or in watertight compartments, and shall be in containment areas constructed to hold the maximum potential spill.</w:t>
      </w:r>
    </w:p>
    <w:p w14:paraId="70A1598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w:t>
      </w:r>
      <w:r w:rsidRPr="00326E64">
        <w:rPr>
          <w:rFonts w:ascii="Times New Roman" w:eastAsia="Calibri" w:hAnsi="Times New Roman" w:cs="Times New Roman"/>
        </w:rPr>
        <w:tab/>
        <w:t xml:space="preserve">Containment areas shall consist of a base and dikes constructed of concrete, compacted clay, or other impervious materials. All joints </w:t>
      </w:r>
      <w:r w:rsidRPr="00326E64">
        <w:rPr>
          <w:rFonts w:ascii="Times New Roman" w:eastAsia="Calibri" w:hAnsi="Times New Roman" w:cs="Times New Roman"/>
          <w:strike/>
        </w:rPr>
        <w:t>must</w:t>
      </w:r>
      <w:r w:rsidRPr="00326E64">
        <w:rPr>
          <w:rFonts w:ascii="Times New Roman" w:eastAsia="Calibri" w:hAnsi="Times New Roman" w:cs="Times New Roman"/>
          <w:u w:val="single"/>
        </w:rPr>
        <w:t>shall</w:t>
      </w:r>
      <w:r w:rsidRPr="00326E64">
        <w:rPr>
          <w:rFonts w:ascii="Times New Roman" w:eastAsia="Calibri" w:hAnsi="Times New Roman" w:cs="Times New Roman"/>
        </w:rPr>
        <w:t xml:space="preserve"> be sealed.</w:t>
      </w:r>
    </w:p>
    <w:p w14:paraId="78F38B9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h</w:t>
      </w:r>
      <w:r w:rsidRPr="00326E64">
        <w:rPr>
          <w:rFonts w:ascii="Times New Roman" w:eastAsia="Calibri" w:hAnsi="Times New Roman" w:cs="Times New Roman"/>
          <w:strike/>
        </w:rPr>
        <w:t>e</w:t>
      </w:r>
      <w:r w:rsidRPr="00326E64">
        <w:rPr>
          <w:rFonts w:ascii="Times New Roman" w:eastAsia="Calibri" w:hAnsi="Times New Roman" w:cs="Times New Roman"/>
        </w:rPr>
        <w:t>.</w:t>
      </w:r>
      <w:r w:rsidRPr="00326E64">
        <w:rPr>
          <w:rFonts w:ascii="Times New Roman" w:eastAsia="Calibri" w:hAnsi="Times New Roman" w:cs="Times New Roman"/>
        </w:rPr>
        <w:tab/>
        <w:t xml:space="preserve">Other Standards. The administrative authority may provide appropriate standards for transporters of sewage sludge that utilize modes of transportation not covered by Subparagraph </w:t>
      </w:r>
      <w:r w:rsidRPr="00326E64">
        <w:rPr>
          <w:rFonts w:ascii="Times New Roman" w:eastAsia="Calibri" w:hAnsi="Times New Roman" w:cs="Times New Roman"/>
          <w:u w:val="single"/>
        </w:rPr>
        <w:t>H</w:t>
      </w:r>
      <w:r w:rsidRPr="00326E64">
        <w:rPr>
          <w:rFonts w:ascii="Times New Roman" w:eastAsia="Calibri" w:hAnsi="Times New Roman" w:cs="Times New Roman"/>
          <w:strike/>
        </w:rPr>
        <w:t>F</w:t>
      </w:r>
      <w:r w:rsidRPr="00326E64">
        <w:rPr>
          <w:rFonts w:ascii="Times New Roman" w:eastAsia="Calibri" w:hAnsi="Times New Roman" w:cs="Times New Roman"/>
        </w:rPr>
        <w:t>.</w:t>
      </w:r>
      <w:r w:rsidRPr="00326E64">
        <w:rPr>
          <w:rFonts w:ascii="Times New Roman" w:eastAsia="Calibri" w:hAnsi="Times New Roman" w:cs="Times New Roman"/>
          <w:u w:val="single"/>
        </w:rPr>
        <w:t>3</w:t>
      </w:r>
      <w:r w:rsidRPr="00326E64">
        <w:rPr>
          <w:rFonts w:ascii="Times New Roman" w:eastAsia="Calibri" w:hAnsi="Times New Roman" w:cs="Times New Roman"/>
          <w:strike/>
        </w:rPr>
        <w:t>2</w:t>
      </w:r>
      <w:r w:rsidRPr="00326E64">
        <w:rPr>
          <w:rFonts w:ascii="Times New Roman" w:eastAsia="Calibri" w:hAnsi="Times New Roman" w:cs="Times New Roman"/>
        </w:rPr>
        <w:t>.</w:t>
      </w:r>
      <w:r w:rsidRPr="00326E64">
        <w:rPr>
          <w:rFonts w:ascii="Times New Roman" w:eastAsia="Calibri" w:hAnsi="Times New Roman" w:cs="Times New Roman"/>
          <w:u w:val="single"/>
        </w:rPr>
        <w:t>e</w:t>
      </w:r>
      <w:r w:rsidRPr="00326E64">
        <w:rPr>
          <w:rFonts w:ascii="Times New Roman" w:eastAsia="Calibri" w:hAnsi="Times New Roman" w:cs="Times New Roman"/>
          <w:strike/>
        </w:rPr>
        <w:t>c</w:t>
      </w:r>
      <w:r w:rsidRPr="00326E64">
        <w:rPr>
          <w:rFonts w:ascii="Times New Roman" w:eastAsia="Calibri" w:hAnsi="Times New Roman" w:cs="Times New Roman"/>
        </w:rPr>
        <w:t xml:space="preserve"> and </w:t>
      </w:r>
      <w:r w:rsidRPr="00326E64">
        <w:rPr>
          <w:rFonts w:ascii="Times New Roman" w:eastAsia="Calibri" w:hAnsi="Times New Roman" w:cs="Times New Roman"/>
          <w:u w:val="single"/>
        </w:rPr>
        <w:t>f</w:t>
      </w:r>
      <w:r w:rsidRPr="00326E64">
        <w:rPr>
          <w:rFonts w:ascii="Times New Roman" w:eastAsia="Calibri" w:hAnsi="Times New Roman" w:cs="Times New Roman"/>
          <w:strike/>
        </w:rPr>
        <w:t>d</w:t>
      </w:r>
      <w:r w:rsidRPr="00326E64">
        <w:rPr>
          <w:rFonts w:ascii="Times New Roman" w:eastAsia="Calibri" w:hAnsi="Times New Roman" w:cs="Times New Roman"/>
        </w:rPr>
        <w:t xml:space="preserve"> of this Section.</w:t>
      </w:r>
    </w:p>
    <w:p w14:paraId="323E347C"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rPr>
        <w:t>f.</w:t>
      </w:r>
      <w:r w:rsidRPr="00326E64">
        <w:rPr>
          <w:rFonts w:ascii="Times New Roman" w:eastAsia="Calibri" w:hAnsi="Times New Roman" w:cs="Times New Roman"/>
        </w:rPr>
        <w:tab/>
        <w:t xml:space="preserve">These regulations do not relieve the transporter from the responsibility of complying with other applicable regulations and licensing requirements, including, but not limited to, those of the Louisiana Department of Transportation and Development, and with applicable ordinances governing types, sizes, and weights of vehicles used to transport sewage sludge on roads and streets that </w:t>
      </w:r>
      <w:r w:rsidRPr="00326E64">
        <w:rPr>
          <w:rFonts w:ascii="Times New Roman" w:eastAsia="Calibri" w:hAnsi="Times New Roman" w:cs="Times New Roman"/>
          <w:strike/>
        </w:rPr>
        <w:t>must</w:t>
      </w:r>
      <w:r w:rsidRPr="00326E64">
        <w:rPr>
          <w:rFonts w:ascii="Times New Roman" w:eastAsia="Calibri" w:hAnsi="Times New Roman" w:cs="Times New Roman"/>
          <w:u w:val="single"/>
        </w:rPr>
        <w:t>shall</w:t>
      </w:r>
      <w:r w:rsidRPr="00326E64">
        <w:rPr>
          <w:rFonts w:ascii="Times New Roman" w:eastAsia="Calibri" w:hAnsi="Times New Roman" w:cs="Times New Roman"/>
        </w:rPr>
        <w:t xml:space="preserve"> be traveled during the transporting of the sewage sludge and with any other applicable requirements.</w:t>
      </w:r>
    </w:p>
    <w:p w14:paraId="177047CD"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strike/>
        </w:rPr>
        <w:t>G</w:t>
      </w:r>
      <w:r w:rsidRPr="00326E64">
        <w:rPr>
          <w:rFonts w:ascii="Times New Roman" w:eastAsia="Calibri" w:hAnsi="Times New Roman" w:cs="Times New Roman"/>
        </w:rPr>
        <w:t>.</w:t>
      </w:r>
      <w:r w:rsidRPr="00326E64">
        <w:rPr>
          <w:rFonts w:ascii="Times New Roman" w:eastAsia="Calibri" w:hAnsi="Times New Roman" w:cs="Times New Roman"/>
        </w:rPr>
        <w:tab/>
        <w:t>Prohibitions, Restrictions, and Additional or More Stringent Requirements</w:t>
      </w:r>
    </w:p>
    <w:p w14:paraId="497F334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1.</w:t>
      </w:r>
      <w:r w:rsidRPr="00326E64">
        <w:rPr>
          <w:rFonts w:ascii="Times New Roman" w:eastAsia="Calibri" w:hAnsi="Times New Roman" w:cs="Times New Roman"/>
        </w:rPr>
        <w:tab/>
        <w:t>Use or Disposal of Sewage Sludge</w:t>
      </w:r>
    </w:p>
    <w:p w14:paraId="2FDF004A"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No person shall use or dispose of sewage sludge or biosolids through any practice for which requirements have not been established in this Chapter.</w:t>
      </w:r>
    </w:p>
    <w:p w14:paraId="191AD40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No person shall use or dispose of sewage sludge or biosolids except in accordance with the requirements in this Chapter.</w:t>
      </w:r>
    </w:p>
    <w:p w14:paraId="3544CC6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2.</w:t>
      </w:r>
      <w:r w:rsidRPr="00326E64">
        <w:rPr>
          <w:rFonts w:ascii="Times New Roman" w:eastAsia="Calibri" w:hAnsi="Times New Roman" w:cs="Times New Roman"/>
        </w:rPr>
        <w:tab/>
        <w:t>Surface Disposal Prohibited.</w:t>
      </w:r>
      <w:r w:rsidRPr="00326E64">
        <w:rPr>
          <w:rFonts w:ascii="Times New Roman" w:eastAsia="Calibri" w:hAnsi="Times New Roman" w:cs="Times New Roman"/>
          <w:u w:val="single"/>
        </w:rPr>
        <w:t xml:space="preserve"> Except as allowed in Clause D.3.b.iv, </w:t>
      </w:r>
      <w:r w:rsidRPr="00326E64">
        <w:rPr>
          <w:rFonts w:ascii="Times New Roman" w:eastAsia="Calibri" w:hAnsi="Times New Roman" w:cs="Times New Roman"/>
          <w:i/>
          <w:u w:val="single"/>
        </w:rPr>
        <w:t>s</w:t>
      </w:r>
      <w:r w:rsidRPr="00326E64">
        <w:rPr>
          <w:rFonts w:ascii="Times New Roman" w:eastAsia="Calibri" w:hAnsi="Times New Roman" w:cs="Times New Roman"/>
          <w:i/>
          <w:strike/>
        </w:rPr>
        <w:t>S</w:t>
      </w:r>
      <w:r w:rsidRPr="00326E64">
        <w:rPr>
          <w:rFonts w:ascii="Times New Roman" w:eastAsia="Calibri" w:hAnsi="Times New Roman" w:cs="Times New Roman"/>
          <w:i/>
        </w:rPr>
        <w:t>urface disposal</w:t>
      </w:r>
      <w:r w:rsidRPr="00326E64">
        <w:rPr>
          <w:rFonts w:ascii="Times New Roman" w:eastAsia="Calibri" w:hAnsi="Times New Roman" w:cs="Times New Roman"/>
        </w:rPr>
        <w:t>, as defined in Subsection B of this Section, is prohibited as a use or disposal method of sewage sludge or biosolids.</w:t>
      </w:r>
    </w:p>
    <w:p w14:paraId="2B62B70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3.</w:t>
      </w:r>
      <w:r w:rsidRPr="00326E64">
        <w:rPr>
          <w:rFonts w:ascii="Times New Roman" w:eastAsia="Calibri" w:hAnsi="Times New Roman" w:cs="Times New Roman"/>
        </w:rPr>
        <w:tab/>
        <w:t>Storage of Sewage Sludge or Biosolids</w:t>
      </w:r>
    </w:p>
    <w:p w14:paraId="0513798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Except as allowed in Subparagraph G.3.b of this Section, the storage of sewage sludge or biosolids, as defined in Subsection B of this Section, is allowed for a period not to exceed six consecutive months and when:</w:t>
      </w:r>
    </w:p>
    <w:p w14:paraId="572B0E6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 xml:space="preserve">it is necessary for the upgrade, repair, or maintenance of a treatment works or sludge-only facility, or for agricultural storage purposes when the sewage sludge or biosolids are to be used for </w:t>
      </w:r>
      <w:r w:rsidRPr="00326E64">
        <w:rPr>
          <w:rFonts w:ascii="Times New Roman" w:eastAsia="Calibri" w:hAnsi="Times New Roman" w:cs="Times New Roman"/>
          <w:i/>
          <w:strike/>
        </w:rPr>
        <w:t>beneficial use</w:t>
      </w:r>
      <w:r w:rsidRPr="00326E64">
        <w:rPr>
          <w:rFonts w:ascii="Times New Roman" w:eastAsia="Calibri" w:hAnsi="Times New Roman" w:cs="Times New Roman"/>
          <w:strike/>
        </w:rPr>
        <w:t>, as defined in Subsection B of this Section;</w:t>
      </w:r>
    </w:p>
    <w:p w14:paraId="29D4931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notification has been made by the person who wishes to store the sewage sludge or biosolids to the administrative authority; and</w:t>
      </w:r>
    </w:p>
    <w:p w14:paraId="5B1C5F2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subsequent approval by the administrative authority has been received.</w:t>
      </w:r>
    </w:p>
    <w:p w14:paraId="6A7B4E0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strike/>
        </w:rPr>
        <w:t>b</w:t>
      </w:r>
      <w:r w:rsidRPr="00326E64">
        <w:rPr>
          <w:rFonts w:ascii="Times New Roman" w:eastAsia="Calibri" w:hAnsi="Times New Roman" w:cs="Times New Roman"/>
        </w:rPr>
        <w:t>.</w:t>
      </w:r>
      <w:r w:rsidRPr="00326E64">
        <w:rPr>
          <w:rFonts w:ascii="Times New Roman" w:eastAsia="Calibri" w:hAnsi="Times New Roman" w:cs="Times New Roman"/>
        </w:rPr>
        <w:tab/>
        <w:t xml:space="preserve">An extension for storage for greater than six months may be granted by the administrative authority if storage for the extended period will have no adverse </w:t>
      </w:r>
      <w:r w:rsidRPr="00326E64">
        <w:rPr>
          <w:rFonts w:ascii="Times New Roman" w:eastAsia="Calibri" w:hAnsi="Times New Roman" w:cs="Times New Roman"/>
          <w:strike/>
        </w:rPr>
        <w:t>affect</w:t>
      </w:r>
      <w:r w:rsidRPr="00326E64">
        <w:rPr>
          <w:rFonts w:ascii="Times New Roman" w:eastAsia="Calibri" w:hAnsi="Times New Roman" w:cs="Times New Roman"/>
          <w:u w:val="single"/>
        </w:rPr>
        <w:t>effect</w:t>
      </w:r>
      <w:r w:rsidRPr="00326E64">
        <w:rPr>
          <w:rFonts w:ascii="Times New Roman" w:eastAsia="Calibri" w:hAnsi="Times New Roman" w:cs="Times New Roman"/>
        </w:rPr>
        <w:t xml:space="preserve"> on human health or the environment.</w:t>
      </w:r>
    </w:p>
    <w:p w14:paraId="176D743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strike/>
        </w:rPr>
        <w:t>c</w:t>
      </w:r>
      <w:r w:rsidRPr="00326E64">
        <w:rPr>
          <w:rFonts w:ascii="Times New Roman" w:eastAsia="Calibri" w:hAnsi="Times New Roman" w:cs="Times New Roman"/>
        </w:rPr>
        <w:t>.</w:t>
      </w:r>
      <w:r w:rsidRPr="00326E64">
        <w:rPr>
          <w:rFonts w:ascii="Times New Roman" w:eastAsia="Calibri" w:hAnsi="Times New Roman" w:cs="Times New Roman"/>
        </w:rPr>
        <w:tab/>
        <w:t xml:space="preserve">A request for an extension for storage for greater than six months </w:t>
      </w:r>
      <w:r w:rsidRPr="00326E64">
        <w:rPr>
          <w:rFonts w:ascii="Times New Roman" w:eastAsia="Calibri" w:hAnsi="Times New Roman" w:cs="Times New Roman"/>
          <w:strike/>
        </w:rPr>
        <w:t>must</w:t>
      </w:r>
      <w:r w:rsidRPr="00326E64">
        <w:rPr>
          <w:rFonts w:ascii="Times New Roman" w:eastAsia="Calibri" w:hAnsi="Times New Roman" w:cs="Times New Roman"/>
          <w:u w:val="single"/>
        </w:rPr>
        <w:t>shall</w:t>
      </w:r>
      <w:r w:rsidRPr="00326E64">
        <w:rPr>
          <w:rFonts w:ascii="Times New Roman" w:eastAsia="Calibri" w:hAnsi="Times New Roman" w:cs="Times New Roman"/>
        </w:rPr>
        <w:t xml:space="preserve"> be submitted in writing to the </w:t>
      </w:r>
      <w:r w:rsidRPr="00326E64">
        <w:rPr>
          <w:rFonts w:ascii="Times New Roman" w:eastAsia="Calibri" w:hAnsi="Times New Roman" w:cs="Times New Roman"/>
          <w:strike/>
        </w:rPr>
        <w:t>Office of Environmental Services</w:t>
      </w:r>
      <w:r w:rsidRPr="00326E64">
        <w:rPr>
          <w:rFonts w:ascii="Times New Roman" w:eastAsia="Calibri" w:hAnsi="Times New Roman" w:cs="Times New Roman"/>
          <w:u w:val="single"/>
        </w:rPr>
        <w:t xml:space="preserve">administrative authority </w:t>
      </w:r>
      <w:r w:rsidRPr="00326E64">
        <w:rPr>
          <w:rFonts w:ascii="Times New Roman" w:eastAsia="Calibri" w:hAnsi="Times New Roman" w:cs="Times New Roman"/>
        </w:rPr>
        <w:t>at least 60 days prior to the expiration of the first six-month storage period and shall include, but not be limited to, the following information:</w:t>
      </w:r>
    </w:p>
    <w:p w14:paraId="5D0FCCED"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the name and address of the person who prepared the sewage sludge or biosolids;</w:t>
      </w:r>
    </w:p>
    <w:p w14:paraId="4235785D"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w:t>
      </w:r>
      <w:r w:rsidRPr="00326E64">
        <w:rPr>
          <w:rFonts w:ascii="Times New Roman" w:eastAsia="Calibri" w:hAnsi="Times New Roman" w:cs="Times New Roman"/>
        </w:rPr>
        <w:tab/>
        <w:t>the name and address of the person who either owns or leases the land where the sewage sludge or biosolids are to be stored, if different from the person who prepared the sewage sludge;</w:t>
      </w:r>
    </w:p>
    <w:p w14:paraId="1857609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iii.</w:t>
      </w:r>
      <w:r w:rsidRPr="00326E64">
        <w:rPr>
          <w:rFonts w:ascii="Times New Roman" w:eastAsia="Calibri" w:hAnsi="Times New Roman" w:cs="Times New Roman"/>
        </w:rPr>
        <w:tab/>
        <w:t>the location, by either street address (physical address) or latitude and longitude, where the sewage sludge or biosolids will be stored;</w:t>
      </w:r>
    </w:p>
    <w:p w14:paraId="6B20CA9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iv.</w:t>
      </w:r>
      <w:r w:rsidRPr="00326E64">
        <w:rPr>
          <w:rFonts w:ascii="Times New Roman" w:eastAsia="Calibri" w:hAnsi="Times New Roman" w:cs="Times New Roman"/>
        </w:rPr>
        <w:tab/>
        <w:t>an explanation of why the sewage sludge or biosolids need to be stored for longer than a six month period;</w:t>
      </w:r>
    </w:p>
    <w:p w14:paraId="6409890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v.</w:t>
      </w:r>
      <w:r w:rsidRPr="00326E64">
        <w:rPr>
          <w:rFonts w:ascii="Times New Roman" w:eastAsia="Calibri" w:hAnsi="Times New Roman" w:cs="Times New Roman"/>
        </w:rPr>
        <w:tab/>
        <w:t>an explanation of why human health and the environment will not be affected;</w:t>
      </w:r>
    </w:p>
    <w:p w14:paraId="5CDAC0F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vi.</w:t>
      </w:r>
      <w:r w:rsidRPr="00326E64">
        <w:rPr>
          <w:rFonts w:ascii="Times New Roman" w:eastAsia="Calibri" w:hAnsi="Times New Roman" w:cs="Times New Roman"/>
        </w:rPr>
        <w:tab/>
        <w:t>the approximate date and length of time the sewage sludge or biosolids will be stored; and</w:t>
      </w:r>
    </w:p>
    <w:p w14:paraId="4F297B0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vii.</w:t>
      </w:r>
      <w:r w:rsidRPr="00326E64">
        <w:rPr>
          <w:rFonts w:ascii="Times New Roman" w:eastAsia="Calibri" w:hAnsi="Times New Roman" w:cs="Times New Roman"/>
        </w:rPr>
        <w:tab/>
        <w:t>the final use and disposal method after the storage period has expired.</w:t>
      </w:r>
    </w:p>
    <w:p w14:paraId="0561975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strike/>
        </w:rPr>
        <w:t>d</w:t>
      </w:r>
      <w:r w:rsidRPr="00326E64">
        <w:rPr>
          <w:rFonts w:ascii="Times New Roman" w:eastAsia="Calibri" w:hAnsi="Times New Roman" w:cs="Times New Roman"/>
        </w:rPr>
        <w:t>.</w:t>
      </w:r>
      <w:r w:rsidRPr="00326E64">
        <w:rPr>
          <w:rFonts w:ascii="Times New Roman" w:eastAsia="Calibri" w:hAnsi="Times New Roman" w:cs="Times New Roman"/>
        </w:rPr>
        <w:tab/>
        <w:t>The administrative authority shall make a determination as to whether or not the information submitted is complete and shall issue the determination within 30 days of having received the request.</w:t>
      </w:r>
    </w:p>
    <w:p w14:paraId="0BF75EEA"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If the information is deemed incomplete, the administrative authority shall issue a notice of deficiency. The preparer or land applier of sewage sludge shall have 45 days, thereafter, to respond to the notice of deficiency.</w:t>
      </w:r>
    </w:p>
    <w:p w14:paraId="2C00F1FA"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w:t>
      </w:r>
      <w:r w:rsidRPr="00326E64">
        <w:rPr>
          <w:rFonts w:ascii="Times New Roman" w:eastAsia="Calibri" w:hAnsi="Times New Roman" w:cs="Times New Roman"/>
        </w:rPr>
        <w:tab/>
        <w:t>If the information is deemed complete, the administrative authority shall make and issue a determination to grant or deny the request for the storage of sewage sludge within 30 days after deeming the information complete.</w:t>
      </w:r>
    </w:p>
    <w:p w14:paraId="3B4FDBC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t>4.</w:t>
      </w:r>
      <w:r w:rsidRPr="00326E64">
        <w:rPr>
          <w:rFonts w:ascii="Times New Roman" w:eastAsia="Calibri" w:hAnsi="Times New Roman" w:cs="Times New Roman"/>
        </w:rPr>
        <w:tab/>
        <w:t>Use of Ponds or Lagoons to Treat Sewage Sludge</w:t>
      </w:r>
    </w:p>
    <w:p w14:paraId="01AF914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 xml:space="preserve">The use of a pond or lagoon is allowed for the </w:t>
      </w:r>
      <w:r w:rsidRPr="00326E64">
        <w:rPr>
          <w:rFonts w:ascii="Times New Roman" w:eastAsia="Calibri" w:hAnsi="Times New Roman" w:cs="Times New Roman"/>
          <w:i/>
        </w:rPr>
        <w:t>treatment of sewage sludge</w:t>
      </w:r>
      <w:r w:rsidRPr="00326E64">
        <w:rPr>
          <w:rFonts w:ascii="Times New Roman" w:eastAsia="Calibri" w:hAnsi="Times New Roman" w:cs="Times New Roman"/>
        </w:rPr>
        <w:t>, as defined in Subsection B of this Section, only after a permit has been granted under these regulations and the applicable air and water discharge permits have been applied for and granted by the administrative authority.</w:t>
      </w:r>
      <w:r w:rsidRPr="00326E64">
        <w:rPr>
          <w:rFonts w:ascii="Times New Roman" w:eastAsia="Calibri" w:hAnsi="Times New Roman" w:cs="Times New Roman"/>
          <w:u w:val="single"/>
        </w:rPr>
        <w:t xml:space="preserve"> The pond or lagoon shall be an intermediate step in the treatment process and not the final disposal method.</w:t>
      </w:r>
    </w:p>
    <w:p w14:paraId="4766044C"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The person who makes use of a pond or lagoon for the treatment of sewage sludge shall:</w:t>
      </w:r>
    </w:p>
    <w:p w14:paraId="2FBFC2D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 xml:space="preserve">provide documentation to the </w:t>
      </w:r>
      <w:r w:rsidRPr="00326E64">
        <w:rPr>
          <w:rFonts w:ascii="Times New Roman" w:eastAsia="Calibri" w:hAnsi="Times New Roman" w:cs="Times New Roman"/>
          <w:strike/>
        </w:rPr>
        <w:t>Office of Environmental Services</w:t>
      </w:r>
      <w:r w:rsidRPr="00326E64">
        <w:rPr>
          <w:rFonts w:ascii="Times New Roman" w:eastAsia="Calibri" w:hAnsi="Times New Roman" w:cs="Times New Roman"/>
          <w:u w:val="single"/>
        </w:rPr>
        <w:t xml:space="preserve">administrative authority </w:t>
      </w:r>
      <w:r w:rsidRPr="00326E64">
        <w:rPr>
          <w:rFonts w:ascii="Times New Roman" w:eastAsia="Calibri" w:hAnsi="Times New Roman" w:cs="Times New Roman"/>
        </w:rPr>
        <w:t>that indicates the final use or disposal method for the sewage sludge;</w:t>
      </w:r>
    </w:p>
    <w:p w14:paraId="6AA2537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w:t>
      </w:r>
      <w:r w:rsidRPr="00326E64">
        <w:rPr>
          <w:rFonts w:ascii="Times New Roman" w:eastAsia="Calibri" w:hAnsi="Times New Roman" w:cs="Times New Roman"/>
        </w:rPr>
        <w:tab/>
        <w:t>apply for the appropriate permit for the chosen final use or disposal in accordance with this Chapter; and</w:t>
      </w:r>
    </w:p>
    <w:p w14:paraId="7068361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iii.</w:t>
      </w:r>
      <w:r w:rsidRPr="00326E64">
        <w:rPr>
          <w:rFonts w:ascii="Times New Roman" w:eastAsia="Calibri" w:hAnsi="Times New Roman" w:cs="Times New Roman"/>
        </w:rPr>
        <w:tab/>
        <w:t xml:space="preserve">provide documentation by a qualified </w:t>
      </w:r>
      <w:r w:rsidRPr="00326E64">
        <w:rPr>
          <w:rFonts w:ascii="Times New Roman" w:eastAsia="Calibri" w:hAnsi="Times New Roman" w:cs="Times New Roman"/>
          <w:strike/>
        </w:rPr>
        <w:t>groundwater scientist</w:t>
      </w:r>
      <w:r w:rsidRPr="00326E64">
        <w:rPr>
          <w:rFonts w:ascii="Times New Roman" w:eastAsia="Calibri" w:hAnsi="Times New Roman" w:cs="Times New Roman"/>
          <w:u w:val="single"/>
        </w:rPr>
        <w:t>professional engineer or geologist</w:t>
      </w:r>
      <w:r w:rsidRPr="00326E64">
        <w:rPr>
          <w:rFonts w:ascii="Times New Roman" w:eastAsia="Calibri" w:hAnsi="Times New Roman" w:cs="Times New Roman"/>
        </w:rPr>
        <w:t xml:space="preserve"> to the </w:t>
      </w:r>
      <w:r w:rsidRPr="00326E64">
        <w:rPr>
          <w:rFonts w:ascii="Times New Roman" w:eastAsia="Calibri" w:hAnsi="Times New Roman" w:cs="Times New Roman"/>
          <w:strike/>
        </w:rPr>
        <w:t>Office of Environmental Services</w:t>
      </w:r>
      <w:r w:rsidRPr="00326E64">
        <w:rPr>
          <w:rFonts w:ascii="Times New Roman" w:eastAsia="Calibri" w:hAnsi="Times New Roman" w:cs="Times New Roman"/>
          <w:u w:val="single"/>
        </w:rPr>
        <w:t>administrative authority</w:t>
      </w:r>
      <w:r w:rsidRPr="00326E64">
        <w:rPr>
          <w:rFonts w:ascii="Times New Roman" w:eastAsia="Calibri" w:hAnsi="Times New Roman" w:cs="Times New Roman"/>
        </w:rPr>
        <w:t xml:space="preserve"> that indicates the area where the pond or lagoon is located and if it will adequately protect against potential groundwater contamination either by natural soil conditions or by a constructed soil or synthetic liner that has a hydraulic conductivity of 1x10-7 centimeters per second or less, and adequately protect from the potential to </w:t>
      </w:r>
      <w:r w:rsidRPr="00326E64">
        <w:rPr>
          <w:rFonts w:ascii="Times New Roman" w:eastAsia="Calibri" w:hAnsi="Times New Roman" w:cs="Times New Roman"/>
          <w:i/>
        </w:rPr>
        <w:t>contaminate an aquifer</w:t>
      </w:r>
      <w:r w:rsidRPr="00326E64">
        <w:rPr>
          <w:rFonts w:ascii="Times New Roman" w:eastAsia="Calibri" w:hAnsi="Times New Roman" w:cs="Times New Roman"/>
        </w:rPr>
        <w:t>, as defined in Subsection B of this Section</w:t>
      </w:r>
      <w:r w:rsidRPr="00326E64">
        <w:rPr>
          <w:rFonts w:ascii="Times New Roman" w:eastAsia="Calibri" w:hAnsi="Times New Roman" w:cs="Times New Roman"/>
          <w:strike/>
        </w:rPr>
        <w:t>.</w:t>
      </w:r>
      <w:r w:rsidRPr="00326E64">
        <w:rPr>
          <w:rFonts w:ascii="Times New Roman" w:eastAsia="Calibri" w:hAnsi="Times New Roman" w:cs="Times New Roman"/>
          <w:u w:val="single"/>
        </w:rPr>
        <w:t>; and</w:t>
      </w:r>
    </w:p>
    <w:p w14:paraId="68F0365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iv.</w:t>
      </w:r>
      <w:r w:rsidRPr="00326E64">
        <w:rPr>
          <w:rFonts w:ascii="Times New Roman" w:eastAsia="Calibri" w:hAnsi="Times New Roman" w:cs="Times New Roman"/>
          <w:u w:val="single"/>
        </w:rPr>
        <w:tab/>
        <w:t>the sewage sludge in the treatment pond or lagoon shall be disposed using the final disposal method at least once per five years.</w:t>
      </w:r>
    </w:p>
    <w:p w14:paraId="6260CE8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5.</w:t>
      </w:r>
      <w:r w:rsidRPr="00326E64">
        <w:rPr>
          <w:rFonts w:ascii="Times New Roman" w:eastAsia="Calibri" w:hAnsi="Times New Roman" w:cs="Times New Roman"/>
        </w:rPr>
        <w:tab/>
        <w:t xml:space="preserve">Solid wastes other than those listed below are prohibited from being prepared with sewage sludge and </w:t>
      </w:r>
      <w:r w:rsidRPr="00326E64">
        <w:rPr>
          <w:rFonts w:ascii="Times New Roman" w:eastAsia="Calibri" w:hAnsi="Times New Roman" w:cs="Times New Roman"/>
          <w:strike/>
        </w:rPr>
        <w:t>must</w:t>
      </w:r>
      <w:r w:rsidRPr="00326E64">
        <w:rPr>
          <w:rFonts w:ascii="Times New Roman" w:eastAsia="Calibri" w:hAnsi="Times New Roman" w:cs="Times New Roman"/>
          <w:u w:val="single"/>
        </w:rPr>
        <w:t>shall</w:t>
      </w:r>
      <w:r w:rsidRPr="00326E64">
        <w:rPr>
          <w:rFonts w:ascii="Times New Roman" w:eastAsia="Calibri" w:hAnsi="Times New Roman" w:cs="Times New Roman"/>
        </w:rPr>
        <w:t xml:space="preserve"> be disposed of in the manner provided in LAC 33:VII.Subpart 1:</w:t>
      </w:r>
    </w:p>
    <w:p w14:paraId="36DF78E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residential and commercial food waste;</w:t>
      </w:r>
    </w:p>
    <w:p w14:paraId="362E967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twigs, branches, leaves, crushed or chipped wood, logs, or trees;</w:t>
      </w:r>
    </w:p>
    <w:p w14:paraId="344FAE9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c.</w:t>
      </w:r>
      <w:r w:rsidRPr="00326E64">
        <w:rPr>
          <w:rFonts w:ascii="Times New Roman" w:eastAsia="Calibri" w:hAnsi="Times New Roman" w:cs="Times New Roman"/>
        </w:rPr>
        <w:tab/>
        <w:t>wood chips or sawdust;</w:t>
      </w:r>
    </w:p>
    <w:p w14:paraId="6FEADD9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d.</w:t>
      </w:r>
      <w:r w:rsidRPr="00326E64">
        <w:rPr>
          <w:rFonts w:ascii="Times New Roman" w:eastAsia="Calibri" w:hAnsi="Times New Roman" w:cs="Times New Roman"/>
        </w:rPr>
        <w:tab/>
        <w:t>ground or crushed cardboard boxes;</w:t>
      </w:r>
    </w:p>
    <w:p w14:paraId="204466F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e.</w:t>
      </w:r>
      <w:r w:rsidRPr="00326E64">
        <w:rPr>
          <w:rFonts w:ascii="Times New Roman" w:eastAsia="Calibri" w:hAnsi="Times New Roman" w:cs="Times New Roman"/>
        </w:rPr>
        <w:tab/>
        <w:t>paper;</w:t>
      </w:r>
    </w:p>
    <w:p w14:paraId="7B2EDBA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t>f.</w:t>
      </w:r>
      <w:r w:rsidRPr="00326E64">
        <w:rPr>
          <w:rFonts w:ascii="Times New Roman" w:eastAsia="Calibri" w:hAnsi="Times New Roman" w:cs="Times New Roman"/>
        </w:rPr>
        <w:tab/>
        <w:t>fly ash, kiln dust, or other solid waste material that has been approved by the Environmental Protection Agency for the alkaline treatment/stabilization of sewage sludge; and</w:t>
      </w:r>
    </w:p>
    <w:p w14:paraId="4FAEAD2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g.</w:t>
      </w:r>
      <w:r w:rsidRPr="00326E64">
        <w:rPr>
          <w:rFonts w:ascii="Times New Roman" w:eastAsia="Calibri" w:hAnsi="Times New Roman" w:cs="Times New Roman"/>
        </w:rPr>
        <w:tab/>
        <w:t>industrial sludges that are shown to contain only the pollutants that are listed in Table 1 of LAC 33:IX.7303.</w:t>
      </w:r>
      <w:r w:rsidRPr="00326E64">
        <w:rPr>
          <w:rFonts w:ascii="Times New Roman" w:eastAsia="Calibri" w:hAnsi="Times New Roman" w:cs="Times New Roman"/>
          <w:strike/>
        </w:rPr>
        <w:t>E</w:t>
      </w:r>
      <w:r w:rsidRPr="00326E64">
        <w:rPr>
          <w:rFonts w:ascii="Times New Roman" w:eastAsia="Calibri" w:hAnsi="Times New Roman" w:cs="Times New Roman"/>
          <w:u w:val="single"/>
        </w:rPr>
        <w:t>F</w:t>
      </w:r>
      <w:r w:rsidRPr="00326E64">
        <w:rPr>
          <w:rFonts w:ascii="Times New Roman" w:eastAsia="Calibri" w:hAnsi="Times New Roman" w:cs="Times New Roman"/>
        </w:rPr>
        <w:t xml:space="preserve">  and are demonstrated to be of benefit to the soil and/or crops through soil conditioning and/or crop fertilization, or are utilized as a form of alkaline treatment/stabilization of the sewage sludge.</w:t>
      </w:r>
    </w:p>
    <w:p w14:paraId="7B349BD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6.</w:t>
      </w:r>
      <w:r w:rsidRPr="00326E64">
        <w:rPr>
          <w:rFonts w:ascii="Times New Roman" w:eastAsia="Calibri" w:hAnsi="Times New Roman" w:cs="Times New Roman"/>
        </w:rPr>
        <w:tab/>
        <w:t>Materials prohibited from being prepared with sewage sludge are as follows:</w:t>
      </w:r>
    </w:p>
    <w:p w14:paraId="2C4B3A3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hazardous waste;</w:t>
      </w:r>
    </w:p>
    <w:p w14:paraId="5D04D89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materials listed in Table 1 of LAC 33:IX.7301.</w:t>
      </w:r>
      <w:r w:rsidRPr="00326E64">
        <w:rPr>
          <w:rFonts w:ascii="Times New Roman" w:eastAsia="Calibri" w:hAnsi="Times New Roman" w:cs="Times New Roman"/>
          <w:u w:val="single"/>
        </w:rPr>
        <w:t>I</w:t>
      </w:r>
      <w:r w:rsidRPr="00326E64">
        <w:rPr>
          <w:rFonts w:ascii="Times New Roman" w:eastAsia="Calibri" w:hAnsi="Times New Roman" w:cs="Times New Roman"/>
          <w:strike/>
        </w:rPr>
        <w:t>G</w:t>
      </w:r>
      <w:r w:rsidRPr="00326E64">
        <w:rPr>
          <w:rFonts w:ascii="Times New Roman" w:eastAsia="Calibri" w:hAnsi="Times New Roman" w:cs="Times New Roman"/>
        </w:rPr>
        <w:t>; and</w:t>
      </w:r>
    </w:p>
    <w:p w14:paraId="1DF63B2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c.</w:t>
      </w:r>
      <w:r w:rsidRPr="00326E64">
        <w:rPr>
          <w:rFonts w:ascii="Times New Roman" w:eastAsia="Calibri" w:hAnsi="Times New Roman" w:cs="Times New Roman"/>
        </w:rPr>
        <w:tab/>
        <w:t>other material whose use has a potential to adversely affect human health or the environment, as determined by the administrative authority.</w:t>
      </w:r>
    </w:p>
    <w:tbl>
      <w:tblPr>
        <w:tblW w:w="6486" w:type="dxa"/>
        <w:tblInd w:w="285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330"/>
        <w:gridCol w:w="3150"/>
        <w:gridCol w:w="6"/>
      </w:tblGrid>
      <w:tr w:rsidR="00326E64" w:rsidRPr="00326E64" w14:paraId="08E580E8" w14:textId="77777777" w:rsidTr="00A54079">
        <w:trPr>
          <w:cantSplit/>
          <w:tblHeader/>
        </w:trPr>
        <w:tc>
          <w:tcPr>
            <w:tcW w:w="6486" w:type="dxa"/>
            <w:gridSpan w:val="3"/>
            <w:tcBorders>
              <w:top w:val="double" w:sz="6" w:space="0" w:color="auto"/>
              <w:bottom w:val="single" w:sz="6" w:space="0" w:color="auto"/>
            </w:tcBorders>
            <w:shd w:val="clear" w:color="auto" w:fill="auto"/>
          </w:tcPr>
          <w:p w14:paraId="0A480B4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Table 1 of LAC 33:IX.7301.</w:t>
            </w:r>
            <w:r w:rsidRPr="00326E64">
              <w:rPr>
                <w:rFonts w:ascii="Times New Roman" w:eastAsia="Calibri" w:hAnsi="Times New Roman" w:cs="Times New Roman"/>
                <w:u w:val="single"/>
              </w:rPr>
              <w:t>I</w:t>
            </w:r>
            <w:r w:rsidRPr="00326E64">
              <w:rPr>
                <w:rFonts w:ascii="Times New Roman" w:eastAsia="Calibri" w:hAnsi="Times New Roman" w:cs="Times New Roman"/>
                <w:strike/>
              </w:rPr>
              <w:t>G</w:t>
            </w:r>
          </w:p>
        </w:tc>
      </w:tr>
      <w:tr w:rsidR="00326E64" w:rsidRPr="00326E64" w14:paraId="739295D6" w14:textId="77777777" w:rsidTr="00A54079">
        <w:trPr>
          <w:cantSplit/>
          <w:tblHeader/>
        </w:trPr>
        <w:tc>
          <w:tcPr>
            <w:tcW w:w="6486" w:type="dxa"/>
            <w:gridSpan w:val="3"/>
            <w:tcBorders>
              <w:top w:val="single" w:sz="6" w:space="0" w:color="auto"/>
              <w:bottom w:val="single" w:sz="6" w:space="0" w:color="auto"/>
            </w:tcBorders>
            <w:shd w:val="clear" w:color="auto" w:fill="auto"/>
          </w:tcPr>
          <w:p w14:paraId="678EFD2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Materials Prohibited from Preparation with Sewage Sludge</w:t>
            </w:r>
          </w:p>
        </w:tc>
      </w:tr>
      <w:tr w:rsidR="00326E64" w:rsidRPr="00326E64" w14:paraId="183B1486" w14:textId="77777777" w:rsidTr="00A54079">
        <w:trPr>
          <w:gridAfter w:val="1"/>
          <w:wAfter w:w="6" w:type="dxa"/>
          <w:cantSplit/>
        </w:trPr>
        <w:tc>
          <w:tcPr>
            <w:tcW w:w="3330" w:type="dxa"/>
            <w:tcBorders>
              <w:top w:val="single" w:sz="6" w:space="0" w:color="auto"/>
            </w:tcBorders>
            <w:vAlign w:val="bottom"/>
          </w:tcPr>
          <w:p w14:paraId="598B165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Antifreeze</w:t>
            </w:r>
          </w:p>
        </w:tc>
        <w:tc>
          <w:tcPr>
            <w:tcW w:w="3150" w:type="dxa"/>
            <w:tcBorders>
              <w:top w:val="single" w:sz="6" w:space="0" w:color="auto"/>
            </w:tcBorders>
            <w:vAlign w:val="bottom"/>
          </w:tcPr>
          <w:p w14:paraId="47E4311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Pesticides</w:t>
            </w:r>
          </w:p>
        </w:tc>
      </w:tr>
      <w:tr w:rsidR="00326E64" w:rsidRPr="00326E64" w14:paraId="0D28D828" w14:textId="77777777" w:rsidTr="00A54079">
        <w:trPr>
          <w:gridAfter w:val="1"/>
          <w:wAfter w:w="6" w:type="dxa"/>
          <w:cantSplit/>
        </w:trPr>
        <w:tc>
          <w:tcPr>
            <w:tcW w:w="3330" w:type="dxa"/>
            <w:vAlign w:val="bottom"/>
          </w:tcPr>
          <w:p w14:paraId="2D8F06C3"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 xml:space="preserve">Automotive </w:t>
            </w:r>
            <w:r w:rsidRPr="00326E64">
              <w:rPr>
                <w:rFonts w:ascii="Times New Roman" w:eastAsia="Calibri" w:hAnsi="Times New Roman" w:cs="Times New Roman"/>
                <w:strike/>
              </w:rPr>
              <w:t>(lead-acid)</w:t>
            </w:r>
            <w:r w:rsidRPr="00326E64">
              <w:rPr>
                <w:rFonts w:ascii="Times New Roman" w:eastAsia="Calibri" w:hAnsi="Times New Roman" w:cs="Times New Roman"/>
              </w:rPr>
              <w:t xml:space="preserve"> batteries</w:t>
            </w:r>
          </w:p>
        </w:tc>
        <w:tc>
          <w:tcPr>
            <w:tcW w:w="3150" w:type="dxa"/>
          </w:tcPr>
          <w:p w14:paraId="63033583"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Photographic supplies</w:t>
            </w:r>
          </w:p>
        </w:tc>
      </w:tr>
      <w:tr w:rsidR="00326E64" w:rsidRPr="00326E64" w14:paraId="2624C4D9" w14:textId="77777777" w:rsidTr="00A54079">
        <w:trPr>
          <w:gridAfter w:val="1"/>
          <w:wAfter w:w="6" w:type="dxa"/>
          <w:cantSplit/>
        </w:trPr>
        <w:tc>
          <w:tcPr>
            <w:tcW w:w="3330" w:type="dxa"/>
            <w:vAlign w:val="bottom"/>
          </w:tcPr>
          <w:p w14:paraId="72F929C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Brake fluid</w:t>
            </w:r>
          </w:p>
        </w:tc>
        <w:tc>
          <w:tcPr>
            <w:tcW w:w="3150" w:type="dxa"/>
            <w:vAlign w:val="bottom"/>
          </w:tcPr>
          <w:p w14:paraId="5BC4C0C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Propane cylinders</w:t>
            </w:r>
          </w:p>
        </w:tc>
      </w:tr>
      <w:tr w:rsidR="00326E64" w:rsidRPr="00326E64" w14:paraId="0256D86B" w14:textId="77777777" w:rsidTr="00A54079">
        <w:trPr>
          <w:gridAfter w:val="1"/>
          <w:wAfter w:w="6" w:type="dxa"/>
          <w:cantSplit/>
        </w:trPr>
        <w:tc>
          <w:tcPr>
            <w:tcW w:w="3330" w:type="dxa"/>
          </w:tcPr>
          <w:p w14:paraId="6BA08CE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Cleaners (drain, oven, toilet)</w:t>
            </w:r>
          </w:p>
        </w:tc>
        <w:tc>
          <w:tcPr>
            <w:tcW w:w="3150" w:type="dxa"/>
            <w:vAlign w:val="bottom"/>
          </w:tcPr>
          <w:p w14:paraId="094A4C1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Treated wood containing the preservatives CCA and/or PCP</w:t>
            </w:r>
          </w:p>
        </w:tc>
      </w:tr>
      <w:tr w:rsidR="00326E64" w:rsidRPr="00326E64" w14:paraId="062C55A7" w14:textId="77777777" w:rsidTr="00A54079">
        <w:trPr>
          <w:gridAfter w:val="1"/>
          <w:wAfter w:w="6" w:type="dxa"/>
          <w:cantSplit/>
        </w:trPr>
        <w:tc>
          <w:tcPr>
            <w:tcW w:w="3330" w:type="dxa"/>
          </w:tcPr>
          <w:p w14:paraId="58B9393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Gasoline and gasoline cans</w:t>
            </w:r>
          </w:p>
        </w:tc>
        <w:tc>
          <w:tcPr>
            <w:tcW w:w="3150" w:type="dxa"/>
            <w:vAlign w:val="bottom"/>
          </w:tcPr>
          <w:p w14:paraId="54D4E39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Tubes and buckets of adhesives, caulking, etc.</w:t>
            </w:r>
          </w:p>
        </w:tc>
      </w:tr>
      <w:tr w:rsidR="00326E64" w:rsidRPr="00326E64" w14:paraId="073BF2A5" w14:textId="77777777" w:rsidTr="00A54079">
        <w:trPr>
          <w:gridAfter w:val="1"/>
          <w:wAfter w:w="6" w:type="dxa"/>
          <w:cantSplit/>
        </w:trPr>
        <w:tc>
          <w:tcPr>
            <w:tcW w:w="3330" w:type="dxa"/>
            <w:vAlign w:val="bottom"/>
          </w:tcPr>
          <w:p w14:paraId="6DDE9ED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Herbicides</w:t>
            </w:r>
          </w:p>
        </w:tc>
        <w:tc>
          <w:tcPr>
            <w:tcW w:w="3150" w:type="dxa"/>
            <w:vAlign w:val="bottom"/>
          </w:tcPr>
          <w:p w14:paraId="107F85C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Swimming pool chemicals</w:t>
            </w:r>
          </w:p>
        </w:tc>
      </w:tr>
      <w:tr w:rsidR="00326E64" w:rsidRPr="00326E64" w14:paraId="4565E0E0" w14:textId="77777777" w:rsidTr="00A54079">
        <w:trPr>
          <w:gridAfter w:val="1"/>
          <w:wAfter w:w="6" w:type="dxa"/>
          <w:cantSplit/>
        </w:trPr>
        <w:tc>
          <w:tcPr>
            <w:tcW w:w="3330" w:type="dxa"/>
            <w:vAlign w:val="bottom"/>
          </w:tcPr>
          <w:p w14:paraId="21D8652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Household (dry cell) batteries</w:t>
            </w:r>
          </w:p>
        </w:tc>
        <w:tc>
          <w:tcPr>
            <w:tcW w:w="3150" w:type="dxa"/>
          </w:tcPr>
          <w:p w14:paraId="05AC7DE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Unmarked containers</w:t>
            </w:r>
          </w:p>
        </w:tc>
      </w:tr>
      <w:tr w:rsidR="00326E64" w:rsidRPr="00326E64" w14:paraId="69AB4B17" w14:textId="77777777" w:rsidTr="00A54079">
        <w:trPr>
          <w:gridAfter w:val="1"/>
          <w:wAfter w:w="6" w:type="dxa"/>
          <w:cantSplit/>
        </w:trPr>
        <w:tc>
          <w:tcPr>
            <w:tcW w:w="3330" w:type="dxa"/>
            <w:vAlign w:val="bottom"/>
          </w:tcPr>
          <w:p w14:paraId="7070DDC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Oil-based paint</w:t>
            </w:r>
          </w:p>
        </w:tc>
        <w:tc>
          <w:tcPr>
            <w:tcW w:w="3150" w:type="dxa"/>
            <w:vAlign w:val="bottom"/>
          </w:tcPr>
          <w:p w14:paraId="34F9AE9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 xml:space="preserve">Used motor oil </w:t>
            </w:r>
          </w:p>
        </w:tc>
      </w:tr>
    </w:tbl>
    <w:p w14:paraId="6B6C9DB3" w14:textId="77777777" w:rsidR="00326E64" w:rsidRPr="00326E64" w:rsidRDefault="00326E64" w:rsidP="00326E64">
      <w:pPr>
        <w:spacing w:line="480" w:lineRule="auto"/>
        <w:rPr>
          <w:rFonts w:ascii="Times New Roman" w:eastAsia="Calibri" w:hAnsi="Times New Roman" w:cs="Times New Roman"/>
        </w:rPr>
      </w:pPr>
    </w:p>
    <w:p w14:paraId="40EACEE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7.</w:t>
      </w:r>
      <w:r w:rsidRPr="00326E64">
        <w:rPr>
          <w:rFonts w:ascii="Times New Roman" w:eastAsia="Calibri" w:hAnsi="Times New Roman" w:cs="Times New Roman"/>
        </w:rPr>
        <w:tab/>
        <w:t xml:space="preserve">A material prepared with sewage sludge </w:t>
      </w:r>
      <w:r w:rsidRPr="00326E64">
        <w:rPr>
          <w:rFonts w:ascii="Times New Roman" w:eastAsia="Calibri" w:hAnsi="Times New Roman" w:cs="Times New Roman"/>
          <w:strike/>
        </w:rPr>
        <w:t>must</w:t>
      </w:r>
      <w:r w:rsidRPr="00326E64">
        <w:rPr>
          <w:rFonts w:ascii="Times New Roman" w:eastAsia="Calibri" w:hAnsi="Times New Roman" w:cs="Times New Roman"/>
          <w:u w:val="single"/>
        </w:rPr>
        <w:t>shall</w:t>
      </w:r>
      <w:r w:rsidRPr="00326E64">
        <w:rPr>
          <w:rFonts w:ascii="Times New Roman" w:eastAsia="Calibri" w:hAnsi="Times New Roman" w:cs="Times New Roman"/>
        </w:rPr>
        <w:t xml:space="preserve"> be sampled and analyzed on an annual basis to determine if the material is nonhazardous by a hazardous waste determination in accordance with LAC 33:Part V. Results of the sampling and analysis </w:t>
      </w:r>
      <w:r w:rsidRPr="00326E64">
        <w:rPr>
          <w:rFonts w:ascii="Times New Roman" w:eastAsia="Calibri" w:hAnsi="Times New Roman" w:cs="Times New Roman"/>
          <w:strike/>
        </w:rPr>
        <w:t>must</w:t>
      </w:r>
      <w:r w:rsidRPr="00326E64">
        <w:rPr>
          <w:rFonts w:ascii="Times New Roman" w:eastAsia="Calibri" w:hAnsi="Times New Roman" w:cs="Times New Roman"/>
          <w:u w:val="single"/>
        </w:rPr>
        <w:t>shall</w:t>
      </w:r>
      <w:r w:rsidRPr="00326E64">
        <w:rPr>
          <w:rFonts w:ascii="Times New Roman" w:eastAsia="Calibri" w:hAnsi="Times New Roman" w:cs="Times New Roman"/>
        </w:rPr>
        <w:t xml:space="preserve"> be submitted to the administrative authority on an annual basis.</w:t>
      </w:r>
    </w:p>
    <w:p w14:paraId="0B0FEC3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8.</w:t>
      </w:r>
      <w:r w:rsidRPr="00326E64">
        <w:rPr>
          <w:rFonts w:ascii="Times New Roman" w:eastAsia="Calibri" w:hAnsi="Times New Roman" w:cs="Times New Roman"/>
        </w:rPr>
        <w:tab/>
        <w:t>Sewage sludge composting operations shall not be located on airport property unless an exemption or approval is granted by the U.S. Department of Transportation's Federal Aviation Administration. If an exemption or approval is granted by the U.S. Department of Transportation's Federal Aviation Administration to allow a sewage sludge composting operation to be located on airport property, the location restrictions in LAC 33:IX.7305.B.1.h and i for off-airport property operations shall apply.</w:t>
      </w:r>
    </w:p>
    <w:p w14:paraId="7CE5458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9.</w:t>
      </w:r>
      <w:r w:rsidRPr="00326E64">
        <w:rPr>
          <w:rFonts w:ascii="Times New Roman" w:eastAsia="Calibri" w:hAnsi="Times New Roman" w:cs="Times New Roman"/>
          <w:strike/>
        </w:rPr>
        <w:tab/>
        <w:t>The use of raw or untreated sewage sludge as daily, interim, or final cover at a municipal solid waste landfill is prohibited. The use of treated sewage sludge as daily, interim, or final cover at a municipal solid waste landfill is allowed only if the sewage sludge meets the requirements and is used in accordance with the requirements in LAC 33:IX.7303.</w:t>
      </w:r>
    </w:p>
    <w:p w14:paraId="02A9468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u w:val="single"/>
        </w:rPr>
        <w:t>9</w:t>
      </w:r>
      <w:r w:rsidRPr="00326E64">
        <w:rPr>
          <w:rFonts w:ascii="Times New Roman" w:eastAsia="Calibri" w:hAnsi="Times New Roman" w:cs="Times New Roman"/>
          <w:strike/>
        </w:rPr>
        <w:t>10</w:t>
      </w:r>
      <w:r w:rsidRPr="00326E64">
        <w:rPr>
          <w:rFonts w:ascii="Times New Roman" w:eastAsia="Calibri" w:hAnsi="Times New Roman" w:cs="Times New Roman"/>
        </w:rPr>
        <w:t>.</w:t>
      </w:r>
      <w:r w:rsidRPr="00326E64">
        <w:rPr>
          <w:rFonts w:ascii="Times New Roman" w:eastAsia="Calibri" w:hAnsi="Times New Roman" w:cs="Times New Roman"/>
        </w:rPr>
        <w:tab/>
        <w:t>Except as exempted in LAC 33:IX.7303.</w:t>
      </w:r>
      <w:r w:rsidRPr="00326E64">
        <w:rPr>
          <w:rFonts w:ascii="Times New Roman" w:eastAsia="Calibri" w:hAnsi="Times New Roman" w:cs="Times New Roman"/>
          <w:strike/>
        </w:rPr>
        <w:t>M</w:t>
      </w:r>
      <w:r w:rsidRPr="00326E64">
        <w:rPr>
          <w:rFonts w:ascii="Times New Roman" w:eastAsia="Calibri" w:hAnsi="Times New Roman" w:cs="Times New Roman"/>
          <w:u w:val="single"/>
        </w:rPr>
        <w:t>E.7</w:t>
      </w:r>
      <w:r w:rsidRPr="00326E64">
        <w:rPr>
          <w:rFonts w:ascii="Times New Roman" w:eastAsia="Calibri" w:hAnsi="Times New Roman" w:cs="Times New Roman"/>
        </w:rPr>
        <w:t xml:space="preserve"> sewage sludge mixed with grease shall be disposed of in a permitted landfill and shall not be:</w:t>
      </w:r>
    </w:p>
    <w:p w14:paraId="3304687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introduced into any part of a treatment works, including its collection system; or</w:t>
      </w:r>
    </w:p>
    <w:p w14:paraId="4B285D8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applied to the land.</w:t>
      </w:r>
    </w:p>
    <w:p w14:paraId="6698A25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10</w:t>
      </w:r>
      <w:r w:rsidRPr="00326E64">
        <w:rPr>
          <w:rFonts w:ascii="Times New Roman" w:eastAsia="Calibri" w:hAnsi="Times New Roman" w:cs="Times New Roman"/>
          <w:strike/>
        </w:rPr>
        <w:t>11</w:t>
      </w:r>
      <w:r w:rsidRPr="00326E64">
        <w:rPr>
          <w:rFonts w:ascii="Times New Roman" w:eastAsia="Calibri" w:hAnsi="Times New Roman" w:cs="Times New Roman"/>
        </w:rPr>
        <w:t>.</w:t>
      </w:r>
      <w:r w:rsidRPr="00326E64">
        <w:rPr>
          <w:rFonts w:ascii="Times New Roman" w:eastAsia="Calibri" w:hAnsi="Times New Roman" w:cs="Times New Roman"/>
        </w:rPr>
        <w:tab/>
        <w:t xml:space="preserve">On a case-by-case basis, the </w:t>
      </w:r>
      <w:r w:rsidRPr="00326E64">
        <w:rPr>
          <w:rFonts w:ascii="Times New Roman" w:eastAsia="Calibri" w:hAnsi="Times New Roman" w:cs="Times New Roman"/>
          <w:u w:val="single"/>
        </w:rPr>
        <w:t>administrative</w:t>
      </w:r>
      <w:r w:rsidRPr="00326E64">
        <w:rPr>
          <w:rFonts w:ascii="Times New Roman" w:eastAsia="Calibri" w:hAnsi="Times New Roman" w:cs="Times New Roman"/>
          <w:strike/>
        </w:rPr>
        <w:t>permitting</w:t>
      </w:r>
      <w:r w:rsidRPr="00326E64">
        <w:rPr>
          <w:rFonts w:ascii="Times New Roman" w:eastAsia="Calibri" w:hAnsi="Times New Roman" w:cs="Times New Roman"/>
        </w:rPr>
        <w:t xml:space="preserve"> authority may impose requirements in addition to or more stringent than the requirements in this Chapter when necessary to protect human health and the environment from any adverse effect of a pollutant in the sewage sludge.</w:t>
      </w:r>
    </w:p>
    <w:p w14:paraId="0897BF9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u w:val="single"/>
        </w:rPr>
        <w:t>J</w:t>
      </w:r>
      <w:r w:rsidRPr="00326E64">
        <w:rPr>
          <w:rFonts w:ascii="Times New Roman" w:eastAsia="Calibri" w:hAnsi="Times New Roman" w:cs="Times New Roman"/>
          <w:strike/>
        </w:rPr>
        <w:t>H</w:t>
      </w:r>
      <w:r w:rsidRPr="00326E64">
        <w:rPr>
          <w:rFonts w:ascii="Times New Roman" w:eastAsia="Calibri" w:hAnsi="Times New Roman" w:cs="Times New Roman"/>
        </w:rPr>
        <w:t>.</w:t>
      </w:r>
      <w:r w:rsidRPr="00326E64">
        <w:rPr>
          <w:rFonts w:ascii="Times New Roman" w:eastAsia="Calibri" w:hAnsi="Times New Roman" w:cs="Times New Roman"/>
        </w:rPr>
        <w:tab/>
        <w:t>Exclusions</w:t>
      </w:r>
    </w:p>
    <w:p w14:paraId="409DC63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1.</w:t>
      </w:r>
      <w:r w:rsidRPr="00326E64">
        <w:rPr>
          <w:rFonts w:ascii="Times New Roman" w:eastAsia="Calibri" w:hAnsi="Times New Roman" w:cs="Times New Roman"/>
        </w:rPr>
        <w:tab/>
        <w:t>Co-Firing of Sewage Sludge</w:t>
      </w:r>
    </w:p>
    <w:p w14:paraId="7FCB0FD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 xml:space="preserve">Except for the co-firing of sewage sludge with </w:t>
      </w:r>
      <w:r w:rsidRPr="00326E64">
        <w:rPr>
          <w:rFonts w:ascii="Times New Roman" w:eastAsia="Calibri" w:hAnsi="Times New Roman" w:cs="Times New Roman"/>
          <w:i/>
        </w:rPr>
        <w:t>auxiliary fuel</w:t>
      </w:r>
      <w:r w:rsidRPr="00326E64">
        <w:rPr>
          <w:rFonts w:ascii="Times New Roman" w:eastAsia="Calibri" w:hAnsi="Times New Roman" w:cs="Times New Roman"/>
        </w:rPr>
        <w:t>, as defined in LAC 33:IX.7311.B, this Chapter does not establish requirements for sewage sludge co-fired in an incinerator with other wastes or for the incinerator in which sewage sludge and other wastes are co-fired.</w:t>
      </w:r>
    </w:p>
    <w:p w14:paraId="2C2A8FD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This Chapter does not establish requirements for sewage sludge co-fired with auxiliary fuel if the auxiliary fuel exceeds 30 percent of the dry weight of the sewage sludge and auxiliary fuel mixture.</w:t>
      </w:r>
    </w:p>
    <w:p w14:paraId="77DD909C"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2.</w:t>
      </w:r>
      <w:r w:rsidRPr="00326E64">
        <w:rPr>
          <w:rFonts w:ascii="Times New Roman" w:eastAsia="Calibri" w:hAnsi="Times New Roman" w:cs="Times New Roman"/>
        </w:rPr>
        <w:tab/>
        <w:t>Sludge Generated at an Industrial Facility. This Chapter does not establish requirements for the use or disposal of sludge generated at an industrial facility during the treatment of industrial wastewater, including sewage sludge generated during the treatment of industrial wastewater combined with domestic sewage.</w:t>
      </w:r>
    </w:p>
    <w:p w14:paraId="0A01988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t>3.</w:t>
      </w:r>
      <w:r w:rsidRPr="00326E64">
        <w:rPr>
          <w:rFonts w:ascii="Times New Roman" w:eastAsia="Calibri" w:hAnsi="Times New Roman" w:cs="Times New Roman"/>
        </w:rPr>
        <w:tab/>
        <w:t>Hazardous Sewage Sludge. This Chapter does not establish requirements for the use or disposal of sewage sludge or a material derived from sewage sludge that is hazardous in accordance with LAC 33:Part V.</w:t>
      </w:r>
    </w:p>
    <w:p w14:paraId="7A451D3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4.</w:t>
      </w:r>
      <w:r w:rsidRPr="00326E64">
        <w:rPr>
          <w:rFonts w:ascii="Times New Roman" w:eastAsia="Calibri" w:hAnsi="Times New Roman" w:cs="Times New Roman"/>
        </w:rPr>
        <w:tab/>
        <w:t xml:space="preserve">Sewage Sludge Containing PCBs. This Chapter does not establish requirements for the use or disposal of sewage sludge containing polychlorinated biphenyls (PCBs) that are regulated by the </w:t>
      </w:r>
      <w:r w:rsidRPr="00326E64">
        <w:rPr>
          <w:rFonts w:ascii="Times New Roman" w:eastAsia="Calibri" w:hAnsi="Times New Roman" w:cs="Times New Roman"/>
          <w:u w:val="single"/>
        </w:rPr>
        <w:t>Toxic Substances Control Act (</w:t>
      </w:r>
      <w:r w:rsidRPr="00326E64">
        <w:rPr>
          <w:rFonts w:ascii="Times New Roman" w:eastAsia="Calibri" w:hAnsi="Times New Roman" w:cs="Times New Roman"/>
        </w:rPr>
        <w:t>TSCA</w:t>
      </w:r>
      <w:r w:rsidRPr="00326E64">
        <w:rPr>
          <w:rFonts w:ascii="Times New Roman" w:eastAsia="Calibri" w:hAnsi="Times New Roman" w:cs="Times New Roman"/>
          <w:u w:val="single"/>
        </w:rPr>
        <w:t>)</w:t>
      </w:r>
      <w:r w:rsidRPr="00326E64">
        <w:rPr>
          <w:rFonts w:ascii="Times New Roman" w:eastAsia="Calibri" w:hAnsi="Times New Roman" w:cs="Times New Roman"/>
        </w:rPr>
        <w:t>.</w:t>
      </w:r>
    </w:p>
    <w:p w14:paraId="487F1E0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5.</w:t>
      </w:r>
      <w:r w:rsidRPr="00326E64">
        <w:rPr>
          <w:rFonts w:ascii="Times New Roman" w:eastAsia="Calibri" w:hAnsi="Times New Roman" w:cs="Times New Roman"/>
        </w:rPr>
        <w:tab/>
        <w:t>Incinerator Ash. This Chapter does not establish requirements for the use or disposal of ash generated during the firing of sewage sludge in a sewage sludge incinerator.</w:t>
      </w:r>
    </w:p>
    <w:p w14:paraId="4FAFB20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6.</w:t>
      </w:r>
      <w:r w:rsidRPr="00326E64">
        <w:rPr>
          <w:rFonts w:ascii="Times New Roman" w:eastAsia="Calibri" w:hAnsi="Times New Roman" w:cs="Times New Roman"/>
        </w:rPr>
        <w:tab/>
        <w:t>Grit and Screenings. This Chapter does not establish requirements for the use or disposal of grit (e.g., sand, gravel, cinders, or other materials with a high specific gravity) or screenings (e.g., relatively large materials such as rags) generated during preliminary treatment of domestic sewage in a treatment works.</w:t>
      </w:r>
    </w:p>
    <w:p w14:paraId="224CCACC"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7.</w:t>
      </w:r>
      <w:r w:rsidRPr="00326E64">
        <w:rPr>
          <w:rFonts w:ascii="Times New Roman" w:eastAsia="Calibri" w:hAnsi="Times New Roman" w:cs="Times New Roman"/>
        </w:rPr>
        <w:tab/>
        <w:t>Drinking Water Treatment Sludge. This Chapter does not establish requirements for the use or disposal of sludge generated during the treatment of either surface water or groundwater used for drinking water.</w:t>
      </w:r>
    </w:p>
    <w:p w14:paraId="770CC64D"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8.</w:t>
      </w:r>
      <w:r w:rsidRPr="00326E64">
        <w:rPr>
          <w:rFonts w:ascii="Times New Roman" w:eastAsia="Calibri" w:hAnsi="Times New Roman" w:cs="Times New Roman"/>
        </w:rPr>
        <w:tab/>
        <w:t xml:space="preserve">Treatment Processes. This Chapter does not establish requirements for processes used to treat </w:t>
      </w:r>
      <w:r w:rsidRPr="00326E64">
        <w:rPr>
          <w:rFonts w:ascii="Times New Roman" w:eastAsia="Calibri" w:hAnsi="Times New Roman" w:cs="Times New Roman"/>
          <w:i/>
        </w:rPr>
        <w:t>domestic sewage</w:t>
      </w:r>
      <w:r w:rsidRPr="00326E64">
        <w:rPr>
          <w:rFonts w:ascii="Times New Roman" w:eastAsia="Calibri" w:hAnsi="Times New Roman" w:cs="Times New Roman"/>
        </w:rPr>
        <w:t>, as defined in Subsection B of this Section, or for processes used to treat sewage sludge prior to final use or disposal, except as provided in LAC 33:IX.7309.</w:t>
      </w:r>
    </w:p>
    <w:p w14:paraId="4020822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9.</w:t>
      </w:r>
      <w:r w:rsidRPr="00326E64">
        <w:rPr>
          <w:rFonts w:ascii="Times New Roman" w:eastAsia="Calibri" w:hAnsi="Times New Roman" w:cs="Times New Roman"/>
        </w:rPr>
        <w:tab/>
        <w:t xml:space="preserve">Selection of a Use or Disposal Practice. This Chapter does not require the selection of a sewage sludge use or disposal practice. The determination of the manner in which sewage sludge is used or disposed is to be made by the person </w:t>
      </w:r>
      <w:r w:rsidRPr="00326E64">
        <w:rPr>
          <w:rFonts w:ascii="Times New Roman" w:eastAsia="Calibri" w:hAnsi="Times New Roman" w:cs="Times New Roman"/>
          <w:u w:val="single"/>
        </w:rPr>
        <w:t xml:space="preserve">or entity </w:t>
      </w:r>
      <w:r w:rsidRPr="00326E64">
        <w:rPr>
          <w:rFonts w:ascii="Times New Roman" w:eastAsia="Calibri" w:hAnsi="Times New Roman" w:cs="Times New Roman"/>
        </w:rPr>
        <w:t>who prepares sewage sludge.</w:t>
      </w:r>
    </w:p>
    <w:p w14:paraId="3A2D76D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u w:val="single"/>
        </w:rPr>
        <w:t>K</w:t>
      </w:r>
      <w:r w:rsidRPr="00326E64">
        <w:rPr>
          <w:rFonts w:ascii="Times New Roman" w:eastAsia="Calibri" w:hAnsi="Times New Roman" w:cs="Times New Roman"/>
          <w:strike/>
        </w:rPr>
        <w:t>I</w:t>
      </w:r>
      <w:r w:rsidRPr="00326E64">
        <w:rPr>
          <w:rFonts w:ascii="Times New Roman" w:eastAsia="Calibri" w:hAnsi="Times New Roman" w:cs="Times New Roman"/>
        </w:rPr>
        <w:t>.</w:t>
      </w:r>
      <w:r w:rsidRPr="00326E64">
        <w:rPr>
          <w:rFonts w:ascii="Times New Roman" w:eastAsia="Calibri" w:hAnsi="Times New Roman" w:cs="Times New Roman"/>
        </w:rPr>
        <w:tab/>
        <w:t>Sampling and Analysis</w:t>
      </w:r>
    </w:p>
    <w:p w14:paraId="7D3424A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1.</w:t>
      </w:r>
      <w:r w:rsidRPr="00326E64">
        <w:rPr>
          <w:rFonts w:ascii="Times New Roman" w:eastAsia="Calibri" w:hAnsi="Times New Roman" w:cs="Times New Roman"/>
        </w:rPr>
        <w:tab/>
        <w:t>Sampling</w:t>
      </w:r>
    </w:p>
    <w:p w14:paraId="546F677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The permittee shall collect and analyze representative samples of sewage sludge or biosolids that are applied to the land and sewage sludge fired in a sewage sludge incinerator at the frequency specified in the permit.</w:t>
      </w:r>
    </w:p>
    <w:p w14:paraId="50E06A9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The permittee shall create and maintain records of sampling and monitoring information for the period specified in the permit. The sampling and monitoring records shall include:</w:t>
      </w:r>
    </w:p>
    <w:p w14:paraId="4C65E51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the date, exact place, and time of sampling or measurements;</w:t>
      </w:r>
    </w:p>
    <w:p w14:paraId="7C12931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w:t>
      </w:r>
      <w:r w:rsidRPr="00326E64">
        <w:rPr>
          <w:rFonts w:ascii="Times New Roman" w:eastAsia="Calibri" w:hAnsi="Times New Roman" w:cs="Times New Roman"/>
        </w:rPr>
        <w:tab/>
        <w:t>the individual(s) who performed the sampling or measurements;</w:t>
      </w:r>
    </w:p>
    <w:p w14:paraId="6FA1131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iii.</w:t>
      </w:r>
      <w:r w:rsidRPr="00326E64">
        <w:rPr>
          <w:rFonts w:ascii="Times New Roman" w:eastAsia="Calibri" w:hAnsi="Times New Roman" w:cs="Times New Roman"/>
        </w:rPr>
        <w:tab/>
        <w:t>the date(s) analyses were performed;</w:t>
      </w:r>
    </w:p>
    <w:p w14:paraId="11658B5C"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iv.</w:t>
      </w:r>
      <w:r w:rsidRPr="00326E64">
        <w:rPr>
          <w:rFonts w:ascii="Times New Roman" w:eastAsia="Calibri" w:hAnsi="Times New Roman" w:cs="Times New Roman"/>
        </w:rPr>
        <w:tab/>
        <w:t>the individual(s) who performed the analysis;</w:t>
      </w:r>
    </w:p>
    <w:p w14:paraId="7F9FF89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v.</w:t>
      </w:r>
      <w:r w:rsidRPr="00326E64">
        <w:rPr>
          <w:rFonts w:ascii="Times New Roman" w:eastAsia="Calibri" w:hAnsi="Times New Roman" w:cs="Times New Roman"/>
        </w:rPr>
        <w:tab/>
        <w:t>the analytical techniques or methods used; and</w:t>
      </w:r>
    </w:p>
    <w:p w14:paraId="3710FDE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vi.</w:t>
      </w:r>
      <w:r w:rsidRPr="00326E64">
        <w:rPr>
          <w:rFonts w:ascii="Times New Roman" w:eastAsia="Calibri" w:hAnsi="Times New Roman" w:cs="Times New Roman"/>
        </w:rPr>
        <w:tab/>
        <w:t>the results of such analysis.</w:t>
      </w:r>
    </w:p>
    <w:p w14:paraId="21E9EF6C"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2.</w:t>
      </w:r>
      <w:r w:rsidRPr="00326E64">
        <w:rPr>
          <w:rFonts w:ascii="Times New Roman" w:eastAsia="Calibri" w:hAnsi="Times New Roman" w:cs="Times New Roman"/>
        </w:rPr>
        <w:tab/>
        <w:t>Methods</w:t>
      </w:r>
      <w:r w:rsidRPr="00326E64">
        <w:rPr>
          <w:rFonts w:ascii="Times New Roman" w:eastAsia="Calibri" w:hAnsi="Times New Roman" w:cs="Times New Roman"/>
          <w:strike/>
        </w:rPr>
        <w:t>.</w:t>
      </w:r>
    </w:p>
    <w:p w14:paraId="2692CDEA"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rPr>
        <w:tab/>
        <w:t xml:space="preserve">The materials listed below are incorporated by reference in this Chapter. The materials are incorporated as they exist on the date of approval, and notice of any change in these materials will be published in the </w:t>
      </w:r>
      <w:r w:rsidRPr="00326E64">
        <w:rPr>
          <w:rFonts w:ascii="Times New Roman" w:eastAsia="Calibri" w:hAnsi="Times New Roman" w:cs="Times New Roman"/>
          <w:i/>
        </w:rPr>
        <w:t>Louisiana Register</w:t>
      </w:r>
      <w:r w:rsidRPr="00326E64">
        <w:rPr>
          <w:rFonts w:ascii="Times New Roman" w:eastAsia="Calibri" w:hAnsi="Times New Roman" w:cs="Times New Roman"/>
        </w:rPr>
        <w:t>. They are available for inspection at the Office of the Federal Register</w:t>
      </w:r>
      <w:r w:rsidRPr="00326E64">
        <w:rPr>
          <w:rFonts w:ascii="Times New Roman" w:eastAsia="Calibri" w:hAnsi="Times New Roman" w:cs="Times New Roman"/>
          <w:strike/>
        </w:rPr>
        <w:t>, 7th Floor, Suite 700, 800 North Capitol Street, NW, Washington, DC</w:t>
      </w:r>
      <w:r w:rsidRPr="00326E64">
        <w:rPr>
          <w:rFonts w:ascii="Times New Roman" w:eastAsia="Calibri" w:hAnsi="Times New Roman" w:cs="Times New Roman"/>
        </w:rPr>
        <w:t>, and at the Office of Water Docket</w:t>
      </w:r>
      <w:r w:rsidRPr="00326E64">
        <w:rPr>
          <w:rFonts w:ascii="Times New Roman" w:eastAsia="Calibri" w:hAnsi="Times New Roman" w:cs="Times New Roman"/>
          <w:strike/>
        </w:rPr>
        <w:t>, Room L-102, U.S. Environmental Protection Agency, 401 M Street, SW, Washington, DC</w:t>
      </w:r>
      <w:r w:rsidRPr="00326E64">
        <w:rPr>
          <w:rFonts w:ascii="Times New Roman" w:eastAsia="Calibri" w:hAnsi="Times New Roman" w:cs="Times New Roman"/>
        </w:rPr>
        <w:t xml:space="preserve">. Copies may be obtained from the </w:t>
      </w:r>
      <w:r w:rsidRPr="00326E64">
        <w:rPr>
          <w:rFonts w:ascii="Times New Roman" w:eastAsia="Calibri" w:hAnsi="Times New Roman" w:cs="Times New Roman"/>
        </w:rPr>
        <w:lastRenderedPageBreak/>
        <w:t xml:space="preserve">standard producer or publisher listed in the regulation. Information regarding other sources of these documents is available from the </w:t>
      </w:r>
      <w:r w:rsidRPr="00326E64">
        <w:rPr>
          <w:rFonts w:ascii="Times New Roman" w:eastAsia="Calibri" w:hAnsi="Times New Roman" w:cs="Times New Roman"/>
          <w:u w:val="single"/>
        </w:rPr>
        <w:t xml:space="preserve">Louisiana </w:t>
      </w:r>
      <w:r w:rsidRPr="00326E64">
        <w:rPr>
          <w:rFonts w:ascii="Times New Roman" w:eastAsia="Calibri" w:hAnsi="Times New Roman" w:cs="Times New Roman"/>
        </w:rPr>
        <w:t>Department of Environmental Quality</w:t>
      </w:r>
      <w:r w:rsidRPr="00326E64">
        <w:rPr>
          <w:rFonts w:ascii="Times New Roman" w:eastAsia="Calibri" w:hAnsi="Times New Roman" w:cs="Times New Roman"/>
          <w:strike/>
        </w:rPr>
        <w:t>, Office of Environmental Services</w:t>
      </w:r>
      <w:r w:rsidRPr="00326E64">
        <w:rPr>
          <w:rFonts w:ascii="Times New Roman" w:eastAsia="Calibri" w:hAnsi="Times New Roman" w:cs="Times New Roman"/>
        </w:rPr>
        <w:t>. Methods in the materials listed below (or in 40 CFR Part 136) shall be used to analyze samples of sewage sludge.</w:t>
      </w:r>
    </w:p>
    <w:p w14:paraId="68F24F0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strike/>
        </w:rPr>
        <w:t>a</w:t>
      </w:r>
      <w:r w:rsidRPr="00326E64">
        <w:rPr>
          <w:rFonts w:ascii="Times New Roman" w:eastAsia="Calibri" w:hAnsi="Times New Roman" w:cs="Times New Roman"/>
        </w:rPr>
        <w:t>.</w:t>
      </w:r>
      <w:r w:rsidRPr="00326E64">
        <w:rPr>
          <w:rFonts w:ascii="Times New Roman" w:eastAsia="Calibri" w:hAnsi="Times New Roman" w:cs="Times New Roman"/>
        </w:rPr>
        <w:tab/>
        <w:t>Enteric Viruses</w:t>
      </w:r>
      <w:r w:rsidRPr="00326E64">
        <w:rPr>
          <w:rFonts w:ascii="Times New Roman" w:eastAsia="Calibri" w:hAnsi="Times New Roman" w:cs="Times New Roman"/>
          <w:strike/>
        </w:rPr>
        <w:t>.</w:t>
      </w:r>
      <w:r w:rsidRPr="00326E64">
        <w:rPr>
          <w:rFonts w:ascii="Times New Roman" w:eastAsia="Calibri" w:hAnsi="Times New Roman" w:cs="Times New Roman"/>
        </w:rPr>
        <w:t xml:space="preserve"> </w:t>
      </w:r>
    </w:p>
    <w:p w14:paraId="32CE317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rPr>
        <w:tab/>
        <w:t xml:space="preserve">ASTM Designation: D 4994-89, "Standard Practice for Recovery of Viruses From Wastewater Sludges," </w:t>
      </w:r>
      <w:r w:rsidRPr="00326E64">
        <w:rPr>
          <w:rFonts w:ascii="Times New Roman" w:eastAsia="Calibri" w:hAnsi="Times New Roman" w:cs="Times New Roman"/>
          <w:strike/>
        </w:rPr>
        <w:t>1992</w:t>
      </w:r>
      <w:r w:rsidRPr="00326E64">
        <w:rPr>
          <w:rFonts w:ascii="Times New Roman" w:eastAsia="Calibri" w:hAnsi="Times New Roman" w:cs="Times New Roman"/>
          <w:u w:val="single"/>
        </w:rPr>
        <w:t>(Most Recent Edition),</w:t>
      </w:r>
      <w:r w:rsidRPr="00326E64">
        <w:rPr>
          <w:rFonts w:ascii="Times New Roman" w:eastAsia="Calibri" w:hAnsi="Times New Roman" w:cs="Times New Roman"/>
        </w:rPr>
        <w:t xml:space="preserve"> Annual Book of ASTM Standards: Section 11—Water and Environmental Technology, ASTM</w:t>
      </w:r>
      <w:r w:rsidRPr="00326E64">
        <w:rPr>
          <w:rFonts w:ascii="Times New Roman" w:eastAsia="Calibri" w:hAnsi="Times New Roman" w:cs="Times New Roman"/>
          <w:strike/>
        </w:rPr>
        <w:t>, 1916 Race Street, Philadelphia, PA 19103-1187</w:t>
      </w:r>
      <w:r w:rsidRPr="00326E64">
        <w:rPr>
          <w:rFonts w:ascii="Times New Roman" w:eastAsia="Calibri" w:hAnsi="Times New Roman" w:cs="Times New Roman"/>
        </w:rPr>
        <w:t>.</w:t>
      </w:r>
    </w:p>
    <w:p w14:paraId="2B4C29A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strike/>
        </w:rPr>
        <w:t>b</w:t>
      </w:r>
      <w:r w:rsidRPr="00326E64">
        <w:rPr>
          <w:rFonts w:ascii="Times New Roman" w:eastAsia="Calibri" w:hAnsi="Times New Roman" w:cs="Times New Roman"/>
        </w:rPr>
        <w:t>.</w:t>
      </w:r>
      <w:r w:rsidRPr="00326E64">
        <w:rPr>
          <w:rFonts w:ascii="Times New Roman" w:eastAsia="Calibri" w:hAnsi="Times New Roman" w:cs="Times New Roman"/>
        </w:rPr>
        <w:tab/>
        <w:t>Fecal Coliform</w:t>
      </w:r>
      <w:r w:rsidRPr="00326E64">
        <w:rPr>
          <w:rFonts w:ascii="Times New Roman" w:eastAsia="Calibri" w:hAnsi="Times New Roman" w:cs="Times New Roman"/>
          <w:strike/>
        </w:rPr>
        <w:t>.</w:t>
      </w:r>
    </w:p>
    <w:p w14:paraId="23E69E7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rPr>
        <w:tab/>
        <w:t xml:space="preserve">Part 9221 E, "Standard Methods for the Examination of Water and Wastewater," </w:t>
      </w:r>
      <w:r w:rsidRPr="00326E64">
        <w:rPr>
          <w:rFonts w:ascii="Times New Roman" w:eastAsia="Calibri" w:hAnsi="Times New Roman" w:cs="Times New Roman"/>
          <w:strike/>
        </w:rPr>
        <w:t>18th Edition, 1992</w:t>
      </w:r>
      <w:r w:rsidRPr="00326E64">
        <w:rPr>
          <w:rFonts w:ascii="Times New Roman" w:eastAsia="Calibri" w:hAnsi="Times New Roman" w:cs="Times New Roman"/>
          <w:u w:val="single"/>
        </w:rPr>
        <w:t>(Most Recent Edition)</w:t>
      </w:r>
      <w:r w:rsidRPr="00326E64">
        <w:rPr>
          <w:rFonts w:ascii="Times New Roman" w:eastAsia="Calibri" w:hAnsi="Times New Roman" w:cs="Times New Roman"/>
        </w:rPr>
        <w:t>, American Public Health Association</w:t>
      </w:r>
      <w:r w:rsidRPr="00326E64">
        <w:rPr>
          <w:rFonts w:ascii="Times New Roman" w:eastAsia="Calibri" w:hAnsi="Times New Roman" w:cs="Times New Roman"/>
          <w:strike/>
        </w:rPr>
        <w:t>, 1015 15th Street, NW, Washington, DC 20005</w:t>
      </w:r>
      <w:r w:rsidRPr="00326E64">
        <w:rPr>
          <w:rFonts w:ascii="Times New Roman" w:eastAsia="Calibri" w:hAnsi="Times New Roman" w:cs="Times New Roman"/>
        </w:rPr>
        <w:t xml:space="preserve">; or EPA Method 1680 </w:t>
      </w:r>
      <w:r w:rsidRPr="00326E64">
        <w:rPr>
          <w:rFonts w:ascii="Times New Roman" w:eastAsia="Calibri" w:hAnsi="Times New Roman" w:cs="Times New Roman"/>
          <w:strike/>
        </w:rPr>
        <w:t xml:space="preserve"> (http://www.epa.gov/waterscience/methods/biosolids/EPA.Method.1680.July2006.pdf) </w:t>
      </w:r>
      <w:r w:rsidRPr="00326E64">
        <w:rPr>
          <w:rFonts w:ascii="Times New Roman" w:eastAsia="Calibri" w:hAnsi="Times New Roman" w:cs="Times New Roman"/>
        </w:rPr>
        <w:t xml:space="preserve">for </w:t>
      </w:r>
      <w:r w:rsidRPr="00326E64">
        <w:rPr>
          <w:rFonts w:ascii="Times New Roman" w:eastAsia="Calibri" w:hAnsi="Times New Roman" w:cs="Times New Roman"/>
          <w:i/>
        </w:rPr>
        <w:t>Exceptional Quality biosolids</w:t>
      </w:r>
      <w:r w:rsidRPr="00326E64">
        <w:rPr>
          <w:rFonts w:ascii="Times New Roman" w:eastAsia="Calibri" w:hAnsi="Times New Roman" w:cs="Times New Roman"/>
        </w:rPr>
        <w:t xml:space="preserve"> and Part 9221 E or Part 9222 D "Standard Methods for the Examination of Water and Wastewater," </w:t>
      </w:r>
      <w:r w:rsidRPr="00326E64">
        <w:rPr>
          <w:rFonts w:ascii="Times New Roman" w:eastAsia="Calibri" w:hAnsi="Times New Roman" w:cs="Times New Roman"/>
          <w:strike/>
        </w:rPr>
        <w:t>18th Edition, 1992</w:t>
      </w:r>
      <w:r w:rsidRPr="00326E64">
        <w:rPr>
          <w:rFonts w:ascii="Times New Roman" w:eastAsia="Calibri" w:hAnsi="Times New Roman" w:cs="Times New Roman"/>
          <w:u w:val="single"/>
        </w:rPr>
        <w:t>(Most Recent Edition)</w:t>
      </w:r>
      <w:r w:rsidRPr="00326E64">
        <w:rPr>
          <w:rFonts w:ascii="Times New Roman" w:eastAsia="Calibri" w:hAnsi="Times New Roman" w:cs="Times New Roman"/>
        </w:rPr>
        <w:t>, American Public Health Association</w:t>
      </w:r>
      <w:r w:rsidRPr="00326E64">
        <w:rPr>
          <w:rFonts w:ascii="Times New Roman" w:eastAsia="Calibri" w:hAnsi="Times New Roman" w:cs="Times New Roman"/>
          <w:strike/>
        </w:rPr>
        <w:t>, 1015 15th Street, NW, Washington, DC 20005</w:t>
      </w:r>
      <w:r w:rsidRPr="00326E64">
        <w:rPr>
          <w:rFonts w:ascii="Times New Roman" w:eastAsia="Calibri" w:hAnsi="Times New Roman" w:cs="Times New Roman"/>
        </w:rPr>
        <w:t xml:space="preserve">; or EPA Method 1680 or 1681 </w:t>
      </w:r>
      <w:r w:rsidRPr="00326E64">
        <w:rPr>
          <w:rFonts w:ascii="Times New Roman" w:eastAsia="Calibri" w:hAnsi="Times New Roman" w:cs="Times New Roman"/>
          <w:strike/>
        </w:rPr>
        <w:t xml:space="preserve">(http://www.epa.gov/waterscience/methods/biosolids/EPA.Method.1681.July2006.pdf) </w:t>
      </w:r>
      <w:r w:rsidRPr="00326E64">
        <w:rPr>
          <w:rFonts w:ascii="Times New Roman" w:eastAsia="Calibri" w:hAnsi="Times New Roman" w:cs="Times New Roman"/>
        </w:rPr>
        <w:t xml:space="preserve">for </w:t>
      </w:r>
      <w:r w:rsidRPr="00326E64">
        <w:rPr>
          <w:rFonts w:ascii="Times New Roman" w:eastAsia="Calibri" w:hAnsi="Times New Roman" w:cs="Times New Roman"/>
          <w:i/>
        </w:rPr>
        <w:t>Class B Biosolids</w:t>
      </w:r>
      <w:r w:rsidRPr="00326E64">
        <w:rPr>
          <w:rFonts w:ascii="Times New Roman" w:eastAsia="Calibri" w:hAnsi="Times New Roman" w:cs="Times New Roman"/>
        </w:rPr>
        <w:t>.</w:t>
      </w:r>
    </w:p>
    <w:p w14:paraId="615A414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strike/>
        </w:rPr>
        <w:t>c</w:t>
      </w:r>
      <w:r w:rsidRPr="00326E64">
        <w:rPr>
          <w:rFonts w:ascii="Times New Roman" w:eastAsia="Calibri" w:hAnsi="Times New Roman" w:cs="Times New Roman"/>
        </w:rPr>
        <w:t>.</w:t>
      </w:r>
      <w:r w:rsidRPr="00326E64">
        <w:rPr>
          <w:rFonts w:ascii="Times New Roman" w:eastAsia="Calibri" w:hAnsi="Times New Roman" w:cs="Times New Roman"/>
        </w:rPr>
        <w:tab/>
        <w:t>Helminth Ova</w:t>
      </w:r>
      <w:r w:rsidRPr="00326E64">
        <w:rPr>
          <w:rFonts w:ascii="Times New Roman" w:eastAsia="Calibri" w:hAnsi="Times New Roman" w:cs="Times New Roman"/>
          <w:strike/>
        </w:rPr>
        <w:t>.</w:t>
      </w:r>
    </w:p>
    <w:p w14:paraId="5E8718E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rPr>
        <w:tab/>
        <w:t>Yanko, W.A., "Occurrence of Pathogens in Distribution and Marketing Municipal Sludges," EPA 600/1-87-014, 1987. National Technical Information Service</w:t>
      </w:r>
      <w:r w:rsidRPr="00326E64">
        <w:rPr>
          <w:rFonts w:ascii="Times New Roman" w:eastAsia="Calibri" w:hAnsi="Times New Roman" w:cs="Times New Roman"/>
          <w:strike/>
        </w:rPr>
        <w:t>, 5285 Port Royal Road, Springfield, VA 22161</w:t>
      </w:r>
      <w:r w:rsidRPr="00326E64">
        <w:rPr>
          <w:rFonts w:ascii="Times New Roman" w:eastAsia="Calibri" w:hAnsi="Times New Roman" w:cs="Times New Roman"/>
        </w:rPr>
        <w:t xml:space="preserve"> (PB 88-154273/AS).</w:t>
      </w:r>
    </w:p>
    <w:p w14:paraId="7FD36D7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iv</w:t>
      </w:r>
      <w:r w:rsidRPr="00326E64">
        <w:rPr>
          <w:rFonts w:ascii="Times New Roman" w:eastAsia="Calibri" w:hAnsi="Times New Roman" w:cs="Times New Roman"/>
          <w:strike/>
        </w:rPr>
        <w:t>d</w:t>
      </w:r>
      <w:r w:rsidRPr="00326E64">
        <w:rPr>
          <w:rFonts w:ascii="Times New Roman" w:eastAsia="Calibri" w:hAnsi="Times New Roman" w:cs="Times New Roman"/>
        </w:rPr>
        <w:t>.</w:t>
      </w:r>
      <w:r w:rsidRPr="00326E64">
        <w:rPr>
          <w:rFonts w:ascii="Times New Roman" w:eastAsia="Calibri" w:hAnsi="Times New Roman" w:cs="Times New Roman"/>
        </w:rPr>
        <w:tab/>
        <w:t>Inorganic Pollutants</w:t>
      </w:r>
      <w:r w:rsidRPr="00326E64">
        <w:rPr>
          <w:rFonts w:ascii="Times New Roman" w:eastAsia="Calibri" w:hAnsi="Times New Roman" w:cs="Times New Roman"/>
          <w:strike/>
        </w:rPr>
        <w:t>.</w:t>
      </w:r>
    </w:p>
    <w:p w14:paraId="6D1C8C9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rPr>
        <w:tab/>
      </w:r>
      <w:r w:rsidRPr="00326E64">
        <w:rPr>
          <w:rFonts w:ascii="Times New Roman" w:eastAsia="Calibri" w:hAnsi="Times New Roman" w:cs="Times New Roman"/>
          <w:i/>
        </w:rPr>
        <w:t>Test Methods for Evaluating Solid Waste, Physical/Chemical Methods</w:t>
      </w:r>
      <w:r w:rsidRPr="00326E64">
        <w:rPr>
          <w:rFonts w:ascii="Times New Roman" w:eastAsia="Calibri" w:hAnsi="Times New Roman" w:cs="Times New Roman"/>
        </w:rPr>
        <w:t xml:space="preserve">, EPA Publication SW-846 </w:t>
      </w:r>
      <w:r w:rsidRPr="00326E64">
        <w:rPr>
          <w:rFonts w:ascii="Times New Roman" w:eastAsia="Calibri" w:hAnsi="Times New Roman" w:cs="Times New Roman"/>
          <w:u w:val="single"/>
        </w:rPr>
        <w:t>(Most Recent Edition</w:t>
      </w:r>
      <w:r w:rsidRPr="00326E64">
        <w:rPr>
          <w:rFonts w:ascii="Times New Roman" w:eastAsia="Calibri" w:hAnsi="Times New Roman" w:cs="Times New Roman"/>
          <w:strike/>
        </w:rPr>
        <w:t>, Second Edition (1982) with Updates I (April 1984) and II (April 1985) and Third Edition (November 1986) with Revision I (December 1987</w:t>
      </w:r>
      <w:r w:rsidRPr="00326E64">
        <w:rPr>
          <w:rFonts w:ascii="Times New Roman" w:eastAsia="Calibri" w:hAnsi="Times New Roman" w:cs="Times New Roman"/>
        </w:rPr>
        <w:t xml:space="preserve">). </w:t>
      </w:r>
      <w:r w:rsidRPr="00326E64">
        <w:rPr>
          <w:rFonts w:ascii="Times New Roman" w:eastAsia="Calibri" w:hAnsi="Times New Roman" w:cs="Times New Roman"/>
          <w:u w:val="single"/>
        </w:rPr>
        <w:t>Other Editions</w:t>
      </w:r>
      <w:r w:rsidRPr="00326E64">
        <w:rPr>
          <w:rFonts w:ascii="Times New Roman" w:eastAsia="Calibri" w:hAnsi="Times New Roman" w:cs="Times New Roman"/>
        </w:rPr>
        <w:t xml:space="preserve"> </w:t>
      </w:r>
      <w:r w:rsidRPr="00326E64">
        <w:rPr>
          <w:rFonts w:ascii="Times New Roman" w:eastAsia="Calibri" w:hAnsi="Times New Roman" w:cs="Times New Roman"/>
          <w:strike/>
        </w:rPr>
        <w:t xml:space="preserve">Second Edition with Updates I and II </w:t>
      </w:r>
      <w:r w:rsidRPr="00326E64">
        <w:rPr>
          <w:rFonts w:ascii="Times New Roman" w:eastAsia="Calibri" w:hAnsi="Times New Roman" w:cs="Times New Roman"/>
        </w:rPr>
        <w:t>are available from the National Technical Information Service</w:t>
      </w:r>
      <w:r w:rsidRPr="00326E64">
        <w:rPr>
          <w:rFonts w:ascii="Times New Roman" w:eastAsia="Calibri" w:hAnsi="Times New Roman" w:cs="Times New Roman"/>
          <w:strike/>
        </w:rPr>
        <w:t>, 5285 Port Royal Road, Springfield, VA 22161 (PB-87-120-291)</w:t>
      </w:r>
      <w:r w:rsidRPr="00326E64">
        <w:rPr>
          <w:rFonts w:ascii="Times New Roman" w:eastAsia="Calibri" w:hAnsi="Times New Roman" w:cs="Times New Roman"/>
        </w:rPr>
        <w:t>.</w:t>
      </w:r>
      <w:r w:rsidRPr="00326E64">
        <w:rPr>
          <w:rFonts w:ascii="Times New Roman" w:eastAsia="Calibri" w:hAnsi="Times New Roman" w:cs="Times New Roman"/>
          <w:u w:val="single"/>
        </w:rPr>
        <w:t xml:space="preserve"> and</w:t>
      </w:r>
      <w:r w:rsidRPr="00326E64">
        <w:rPr>
          <w:rFonts w:ascii="Times New Roman" w:eastAsia="Calibri" w:hAnsi="Times New Roman" w:cs="Times New Roman"/>
        </w:rPr>
        <w:t xml:space="preserve"> </w:t>
      </w:r>
      <w:r w:rsidRPr="00326E64">
        <w:rPr>
          <w:rFonts w:ascii="Times New Roman" w:eastAsia="Calibri" w:hAnsi="Times New Roman" w:cs="Times New Roman"/>
          <w:strike/>
        </w:rPr>
        <w:t xml:space="preserve">Third Edition with Revision I are available from </w:t>
      </w:r>
      <w:r w:rsidRPr="00326E64">
        <w:rPr>
          <w:rFonts w:ascii="Times New Roman" w:eastAsia="Calibri" w:hAnsi="Times New Roman" w:cs="Times New Roman"/>
          <w:u w:val="single"/>
        </w:rPr>
        <w:t xml:space="preserve">the </w:t>
      </w:r>
      <w:r w:rsidRPr="00326E64">
        <w:rPr>
          <w:rFonts w:ascii="Times New Roman" w:eastAsia="Calibri" w:hAnsi="Times New Roman" w:cs="Times New Roman"/>
        </w:rPr>
        <w:t>Superintendent of Documents, Government Printing Office</w:t>
      </w:r>
      <w:r w:rsidRPr="00326E64">
        <w:rPr>
          <w:rFonts w:ascii="Times New Roman" w:eastAsia="Calibri" w:hAnsi="Times New Roman" w:cs="Times New Roman"/>
          <w:strike/>
        </w:rPr>
        <w:t>, 941 North Capitol Street, NE, Washington, DC 20002</w:t>
      </w:r>
      <w:r w:rsidRPr="00326E64">
        <w:rPr>
          <w:rFonts w:ascii="Times New Roman" w:eastAsia="Calibri" w:hAnsi="Times New Roman" w:cs="Times New Roman"/>
        </w:rPr>
        <w:t xml:space="preserve"> (Document Number 955-001-00000-1).</w:t>
      </w:r>
    </w:p>
    <w:p w14:paraId="7B4A1C3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v</w:t>
      </w:r>
      <w:r w:rsidRPr="00326E64">
        <w:rPr>
          <w:rFonts w:ascii="Times New Roman" w:eastAsia="Calibri" w:hAnsi="Times New Roman" w:cs="Times New Roman"/>
          <w:strike/>
        </w:rPr>
        <w:t>e</w:t>
      </w:r>
      <w:r w:rsidRPr="00326E64">
        <w:rPr>
          <w:rFonts w:ascii="Times New Roman" w:eastAsia="Calibri" w:hAnsi="Times New Roman" w:cs="Times New Roman"/>
        </w:rPr>
        <w:t>.</w:t>
      </w:r>
      <w:r w:rsidRPr="00326E64">
        <w:rPr>
          <w:rFonts w:ascii="Times New Roman" w:eastAsia="Calibri" w:hAnsi="Times New Roman" w:cs="Times New Roman"/>
        </w:rPr>
        <w:tab/>
      </w:r>
      <w:r w:rsidRPr="00326E64">
        <w:rPr>
          <w:rFonts w:ascii="Times New Roman" w:eastAsia="Calibri" w:hAnsi="Times New Roman" w:cs="Times New Roman"/>
          <w:i/>
        </w:rPr>
        <w:t>Salmonella sp</w:t>
      </w:r>
      <w:r w:rsidRPr="00326E64">
        <w:rPr>
          <w:rFonts w:ascii="Times New Roman" w:eastAsia="Calibri" w:hAnsi="Times New Roman" w:cs="Times New Roman"/>
        </w:rPr>
        <w:t>. Bacteria</w:t>
      </w:r>
      <w:r w:rsidRPr="00326E64">
        <w:rPr>
          <w:rFonts w:ascii="Times New Roman" w:eastAsia="Calibri" w:hAnsi="Times New Roman" w:cs="Times New Roman"/>
          <w:strike/>
        </w:rPr>
        <w:t>.</w:t>
      </w:r>
    </w:p>
    <w:p w14:paraId="652AA14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rPr>
        <w:tab/>
        <w:t xml:space="preserve">Part 9260 D, "Standard Methods for the Examination of Water and Wastewater," </w:t>
      </w:r>
      <w:r w:rsidRPr="00326E64">
        <w:rPr>
          <w:rFonts w:ascii="Times New Roman" w:eastAsia="Calibri" w:hAnsi="Times New Roman" w:cs="Times New Roman"/>
          <w:strike/>
        </w:rPr>
        <w:t>18th Edition, 1992</w:t>
      </w:r>
      <w:r w:rsidRPr="00326E64">
        <w:rPr>
          <w:rFonts w:ascii="Times New Roman" w:eastAsia="Calibri" w:hAnsi="Times New Roman" w:cs="Times New Roman"/>
          <w:u w:val="single"/>
        </w:rPr>
        <w:t>(Most Recent Edition)</w:t>
      </w:r>
      <w:r w:rsidRPr="00326E64">
        <w:rPr>
          <w:rFonts w:ascii="Times New Roman" w:eastAsia="Calibri" w:hAnsi="Times New Roman" w:cs="Times New Roman"/>
        </w:rPr>
        <w:t xml:space="preserve">, American Public Health Association, </w:t>
      </w:r>
      <w:r w:rsidRPr="00326E64">
        <w:rPr>
          <w:rFonts w:ascii="Times New Roman" w:eastAsia="Calibri" w:hAnsi="Times New Roman" w:cs="Times New Roman"/>
          <w:strike/>
        </w:rPr>
        <w:t xml:space="preserve">1015 15th Street, NW, Washington, DC 20005; </w:t>
      </w:r>
      <w:r w:rsidRPr="00326E64">
        <w:rPr>
          <w:rFonts w:ascii="Times New Roman" w:eastAsia="Calibri" w:hAnsi="Times New Roman" w:cs="Times New Roman"/>
        </w:rPr>
        <w:t>or EPA Method 1682 (</w:t>
      </w:r>
      <w:r w:rsidRPr="00326E64">
        <w:rPr>
          <w:rFonts w:ascii="Times New Roman" w:eastAsia="Calibri" w:hAnsi="Times New Roman" w:cs="Times New Roman"/>
          <w:strike/>
        </w:rPr>
        <w:t>http://www.epa.gov/waterscience/methods/biosolids/EPA.Method.1682.July2006.pdf)</w:t>
      </w:r>
      <w:r w:rsidRPr="00326E64">
        <w:rPr>
          <w:rFonts w:ascii="Times New Roman" w:eastAsia="Calibri" w:hAnsi="Times New Roman" w:cs="Times New Roman"/>
        </w:rPr>
        <w:t>available</w:t>
      </w:r>
      <w:r w:rsidRPr="00326E64">
        <w:rPr>
          <w:rFonts w:ascii="Times New Roman" w:eastAsia="Calibri" w:hAnsi="Times New Roman" w:cs="Times New Roman"/>
          <w:u w:val="single"/>
        </w:rPr>
        <w:t xml:space="preserve"> on EPA’s website at epa.gov</w:t>
      </w:r>
      <w:r w:rsidRPr="00326E64">
        <w:rPr>
          <w:rFonts w:ascii="Times New Roman" w:eastAsia="Calibri" w:hAnsi="Times New Roman" w:cs="Times New Roman"/>
        </w:rPr>
        <w:t>; or Kenner, B.A. and H.P. Clark, "Detection and Enumeration of Salmonella and Pseudomonas Aeruginosa," Journal of the Water Pollution Control Federation, Vol. 46, No. 9, September 1974, pp. 2163-2171. Water Environment Federation</w:t>
      </w:r>
      <w:r w:rsidRPr="00326E64">
        <w:rPr>
          <w:rFonts w:ascii="Times New Roman" w:eastAsia="Calibri" w:hAnsi="Times New Roman" w:cs="Times New Roman"/>
          <w:strike/>
        </w:rPr>
        <w:t>, 601 Wythe Street, Alexandria, VA 22314</w:t>
      </w:r>
      <w:r w:rsidRPr="00326E64">
        <w:rPr>
          <w:rFonts w:ascii="Times New Roman" w:eastAsia="Calibri" w:hAnsi="Times New Roman" w:cs="Times New Roman"/>
        </w:rPr>
        <w:t>.</w:t>
      </w:r>
    </w:p>
    <w:p w14:paraId="2F7A45DC"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vi</w:t>
      </w:r>
      <w:r w:rsidRPr="00326E64">
        <w:rPr>
          <w:rFonts w:ascii="Times New Roman" w:eastAsia="Calibri" w:hAnsi="Times New Roman" w:cs="Times New Roman"/>
          <w:strike/>
        </w:rPr>
        <w:t>f</w:t>
      </w:r>
      <w:r w:rsidRPr="00326E64">
        <w:rPr>
          <w:rFonts w:ascii="Times New Roman" w:eastAsia="Calibri" w:hAnsi="Times New Roman" w:cs="Times New Roman"/>
        </w:rPr>
        <w:t>.</w:t>
      </w:r>
      <w:r w:rsidRPr="00326E64">
        <w:rPr>
          <w:rFonts w:ascii="Times New Roman" w:eastAsia="Calibri" w:hAnsi="Times New Roman" w:cs="Times New Roman"/>
        </w:rPr>
        <w:tab/>
        <w:t>Specific Oxygen Uptake Rate</w:t>
      </w:r>
      <w:r w:rsidRPr="00326E64">
        <w:rPr>
          <w:rFonts w:ascii="Times New Roman" w:eastAsia="Calibri" w:hAnsi="Times New Roman" w:cs="Times New Roman"/>
          <w:strike/>
        </w:rPr>
        <w:t>.</w:t>
      </w:r>
    </w:p>
    <w:p w14:paraId="00D6E8A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rPr>
        <w:tab/>
        <w:t xml:space="preserve">Part 2710, B. Standard Methods for the Examination of Water and Wastewater, </w:t>
      </w:r>
      <w:r w:rsidRPr="00326E64">
        <w:rPr>
          <w:rFonts w:ascii="Times New Roman" w:eastAsia="Calibri" w:hAnsi="Times New Roman" w:cs="Times New Roman"/>
          <w:strike/>
        </w:rPr>
        <w:t>18th Edition, 1992</w:t>
      </w:r>
      <w:r w:rsidRPr="00326E64">
        <w:rPr>
          <w:rFonts w:ascii="Times New Roman" w:eastAsia="Calibri" w:hAnsi="Times New Roman" w:cs="Times New Roman"/>
          <w:u w:val="single"/>
        </w:rPr>
        <w:t>(Most Recent Edition)</w:t>
      </w:r>
      <w:r w:rsidRPr="00326E64">
        <w:rPr>
          <w:rFonts w:ascii="Times New Roman" w:eastAsia="Calibri" w:hAnsi="Times New Roman" w:cs="Times New Roman"/>
        </w:rPr>
        <w:t>, American Public Health Association</w:t>
      </w:r>
      <w:r w:rsidRPr="00326E64">
        <w:rPr>
          <w:rFonts w:ascii="Times New Roman" w:eastAsia="Calibri" w:hAnsi="Times New Roman" w:cs="Times New Roman"/>
          <w:strike/>
        </w:rPr>
        <w:t>, 1015 15th Street, NW, Washington, DC 20005</w:t>
      </w:r>
      <w:r w:rsidRPr="00326E64">
        <w:rPr>
          <w:rFonts w:ascii="Times New Roman" w:eastAsia="Calibri" w:hAnsi="Times New Roman" w:cs="Times New Roman"/>
        </w:rPr>
        <w:t>.</w:t>
      </w:r>
    </w:p>
    <w:p w14:paraId="4FA93A4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vii</w:t>
      </w:r>
      <w:r w:rsidRPr="00326E64">
        <w:rPr>
          <w:rFonts w:ascii="Times New Roman" w:eastAsia="Calibri" w:hAnsi="Times New Roman" w:cs="Times New Roman"/>
          <w:strike/>
        </w:rPr>
        <w:t>g</w:t>
      </w:r>
      <w:r w:rsidRPr="00326E64">
        <w:rPr>
          <w:rFonts w:ascii="Times New Roman" w:eastAsia="Calibri" w:hAnsi="Times New Roman" w:cs="Times New Roman"/>
        </w:rPr>
        <w:t>.</w:t>
      </w:r>
      <w:r w:rsidRPr="00326E64">
        <w:rPr>
          <w:rFonts w:ascii="Times New Roman" w:eastAsia="Calibri" w:hAnsi="Times New Roman" w:cs="Times New Roman"/>
        </w:rPr>
        <w:tab/>
        <w:t>Total, Fixed, and Volatile Solids</w:t>
      </w:r>
      <w:r w:rsidRPr="00326E64">
        <w:rPr>
          <w:rFonts w:ascii="Times New Roman" w:eastAsia="Calibri" w:hAnsi="Times New Roman" w:cs="Times New Roman"/>
          <w:strike/>
        </w:rPr>
        <w:t>.</w:t>
      </w:r>
    </w:p>
    <w:p w14:paraId="2A2E3C5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rPr>
        <w:tab/>
        <w:t>Part 2540, G. Standard Methods for the Examination of Water and Wastewater</w:t>
      </w:r>
      <w:r w:rsidRPr="00326E64">
        <w:rPr>
          <w:rFonts w:ascii="Times New Roman" w:eastAsia="Calibri" w:hAnsi="Times New Roman" w:cs="Times New Roman"/>
          <w:strike/>
        </w:rPr>
        <w:t>, 18th Edition, 1992</w:t>
      </w:r>
      <w:r w:rsidRPr="00326E64">
        <w:rPr>
          <w:rFonts w:ascii="Times New Roman" w:eastAsia="Calibri" w:hAnsi="Times New Roman" w:cs="Times New Roman"/>
        </w:rPr>
        <w:t xml:space="preserve"> </w:t>
      </w:r>
      <w:r w:rsidRPr="00326E64">
        <w:rPr>
          <w:rFonts w:ascii="Times New Roman" w:eastAsia="Calibri" w:hAnsi="Times New Roman" w:cs="Times New Roman"/>
          <w:u w:val="single"/>
        </w:rPr>
        <w:t>(Most Recent Edition)</w:t>
      </w:r>
      <w:r w:rsidRPr="00326E64">
        <w:rPr>
          <w:rFonts w:ascii="Times New Roman" w:eastAsia="Calibri" w:hAnsi="Times New Roman" w:cs="Times New Roman"/>
        </w:rPr>
        <w:t>, American Public Health Association</w:t>
      </w:r>
      <w:r w:rsidRPr="00326E64">
        <w:rPr>
          <w:rFonts w:ascii="Times New Roman" w:eastAsia="Calibri" w:hAnsi="Times New Roman" w:cs="Times New Roman"/>
          <w:strike/>
        </w:rPr>
        <w:t>, 1015 15th Street, NW, Washington, DC 20005</w:t>
      </w:r>
      <w:r w:rsidRPr="00326E64">
        <w:rPr>
          <w:rFonts w:ascii="Times New Roman" w:eastAsia="Calibri" w:hAnsi="Times New Roman" w:cs="Times New Roman"/>
        </w:rPr>
        <w:t>.</w:t>
      </w:r>
    </w:p>
    <w:p w14:paraId="4ACDCCE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viii</w:t>
      </w:r>
      <w:r w:rsidRPr="00326E64">
        <w:rPr>
          <w:rFonts w:ascii="Times New Roman" w:eastAsia="Calibri" w:hAnsi="Times New Roman" w:cs="Times New Roman"/>
          <w:strike/>
        </w:rPr>
        <w:t>h</w:t>
      </w:r>
      <w:r w:rsidRPr="00326E64">
        <w:rPr>
          <w:rFonts w:ascii="Times New Roman" w:eastAsia="Calibri" w:hAnsi="Times New Roman" w:cs="Times New Roman"/>
        </w:rPr>
        <w:t>.</w:t>
      </w:r>
      <w:r w:rsidRPr="00326E64">
        <w:rPr>
          <w:rFonts w:ascii="Times New Roman" w:eastAsia="Calibri" w:hAnsi="Times New Roman" w:cs="Times New Roman"/>
        </w:rPr>
        <w:tab/>
        <w:t>Incineration of Sewage Sludge—Standards of Performance and Particulate Matter</w:t>
      </w:r>
      <w:r w:rsidRPr="00326E64">
        <w:rPr>
          <w:rFonts w:ascii="Times New Roman" w:eastAsia="Calibri" w:hAnsi="Times New Roman" w:cs="Times New Roman"/>
          <w:strike/>
        </w:rPr>
        <w:t>.</w:t>
      </w:r>
    </w:p>
    <w:p w14:paraId="543A2743"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rPr>
        <w:tab/>
        <w:t>Materials and Methods at 40 CFR Part 60 as incorporated by reference at LAC 33:III.3003.</w:t>
      </w:r>
    </w:p>
    <w:p w14:paraId="5601066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ix</w:t>
      </w:r>
      <w:r w:rsidRPr="00326E64">
        <w:rPr>
          <w:rFonts w:ascii="Times New Roman" w:eastAsia="Calibri" w:hAnsi="Times New Roman" w:cs="Times New Roman"/>
          <w:strike/>
        </w:rPr>
        <w:t>i</w:t>
      </w:r>
      <w:r w:rsidRPr="00326E64">
        <w:rPr>
          <w:rFonts w:ascii="Times New Roman" w:eastAsia="Calibri" w:hAnsi="Times New Roman" w:cs="Times New Roman"/>
        </w:rPr>
        <w:t>.</w:t>
      </w:r>
      <w:r w:rsidRPr="00326E64">
        <w:rPr>
          <w:rFonts w:ascii="Times New Roman" w:eastAsia="Calibri" w:hAnsi="Times New Roman" w:cs="Times New Roman"/>
        </w:rPr>
        <w:tab/>
        <w:t>Incineration of Sewage Sludge—National Emission Standards for Beryllium and for Mercury.</w:t>
      </w:r>
    </w:p>
    <w:p w14:paraId="005FD88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rPr>
        <w:tab/>
        <w:t>Materials, Methods, and Standards at 40 CFR Part 61 as incorporated by reference at LAC 33:III.5116.</w:t>
      </w:r>
    </w:p>
    <w:p w14:paraId="780208C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x</w:t>
      </w:r>
      <w:r w:rsidRPr="00326E64">
        <w:rPr>
          <w:rFonts w:ascii="Times New Roman" w:eastAsia="Calibri" w:hAnsi="Times New Roman" w:cs="Times New Roman"/>
          <w:strike/>
        </w:rPr>
        <w:t>j</w:t>
      </w:r>
      <w:r w:rsidRPr="00326E64">
        <w:rPr>
          <w:rFonts w:ascii="Times New Roman" w:eastAsia="Calibri" w:hAnsi="Times New Roman" w:cs="Times New Roman"/>
        </w:rPr>
        <w:t>.</w:t>
      </w:r>
      <w:r w:rsidRPr="00326E64">
        <w:rPr>
          <w:rFonts w:ascii="Times New Roman" w:eastAsia="Calibri" w:hAnsi="Times New Roman" w:cs="Times New Roman"/>
        </w:rPr>
        <w:tab/>
        <w:t>Composting of Sewage Sludge</w:t>
      </w:r>
      <w:r w:rsidRPr="00326E64">
        <w:rPr>
          <w:rFonts w:ascii="Times New Roman" w:eastAsia="Calibri" w:hAnsi="Times New Roman" w:cs="Times New Roman"/>
          <w:strike/>
        </w:rPr>
        <w:t>.</w:t>
      </w:r>
    </w:p>
    <w:p w14:paraId="0117CFC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rPr>
        <w:tab/>
      </w:r>
      <w:r w:rsidRPr="00326E64">
        <w:rPr>
          <w:rFonts w:ascii="Times New Roman" w:eastAsia="Calibri" w:hAnsi="Times New Roman" w:cs="Times New Roman"/>
          <w:i/>
        </w:rPr>
        <w:t>Test Methods for the Examination of Composting and Compost</w:t>
      </w:r>
      <w:r w:rsidRPr="00326E64">
        <w:rPr>
          <w:rFonts w:ascii="Times New Roman" w:eastAsia="Calibri" w:hAnsi="Times New Roman" w:cs="Times New Roman"/>
        </w:rPr>
        <w:t xml:space="preserve">, The US Composting Council Research and Education Foundation and USDA, </w:t>
      </w:r>
      <w:r w:rsidRPr="00326E64">
        <w:rPr>
          <w:rFonts w:ascii="Times New Roman" w:eastAsia="Calibri" w:hAnsi="Times New Roman" w:cs="Times New Roman"/>
          <w:u w:val="single"/>
        </w:rPr>
        <w:t xml:space="preserve">available on the </w:t>
      </w:r>
      <w:r w:rsidRPr="00326E64">
        <w:rPr>
          <w:rFonts w:ascii="Times New Roman" w:eastAsia="Calibri" w:hAnsi="Times New Roman" w:cs="Times New Roman"/>
        </w:rPr>
        <w:t>TMECC Website</w:t>
      </w:r>
      <w:r w:rsidRPr="00326E64">
        <w:rPr>
          <w:rFonts w:ascii="Times New Roman" w:eastAsia="Calibri" w:hAnsi="Times New Roman" w:cs="Times New Roman"/>
          <w:strike/>
        </w:rPr>
        <w:t>: http://tmecc.org/tmecc/index.html</w:t>
      </w:r>
      <w:r w:rsidRPr="00326E64">
        <w:rPr>
          <w:rFonts w:ascii="Times New Roman" w:eastAsia="Calibri" w:hAnsi="Times New Roman" w:cs="Times New Roman"/>
        </w:rPr>
        <w:t>.</w:t>
      </w:r>
    </w:p>
    <w:p w14:paraId="098AD58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xi</w:t>
      </w:r>
      <w:r w:rsidRPr="00326E64">
        <w:rPr>
          <w:rFonts w:ascii="Times New Roman" w:eastAsia="Calibri" w:hAnsi="Times New Roman" w:cs="Times New Roman"/>
          <w:strike/>
        </w:rPr>
        <w:t>k</w:t>
      </w:r>
      <w:r w:rsidRPr="00326E64">
        <w:rPr>
          <w:rFonts w:ascii="Times New Roman" w:eastAsia="Calibri" w:hAnsi="Times New Roman" w:cs="Times New Roman"/>
        </w:rPr>
        <w:t>.</w:t>
      </w:r>
      <w:r w:rsidRPr="00326E64">
        <w:rPr>
          <w:rFonts w:ascii="Times New Roman" w:eastAsia="Calibri" w:hAnsi="Times New Roman" w:cs="Times New Roman"/>
        </w:rPr>
        <w:tab/>
        <w:t>Nutrients</w:t>
      </w:r>
      <w:r w:rsidRPr="00326E64">
        <w:rPr>
          <w:rFonts w:ascii="Times New Roman" w:eastAsia="Calibri" w:hAnsi="Times New Roman" w:cs="Times New Roman"/>
          <w:strike/>
        </w:rPr>
        <w:t>―</w:t>
      </w:r>
    </w:p>
    <w:p w14:paraId="2E2EFD9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rPr>
        <w:tab/>
      </w:r>
      <w:r w:rsidRPr="00326E64">
        <w:rPr>
          <w:rFonts w:ascii="Times New Roman" w:eastAsia="Calibri" w:hAnsi="Times New Roman" w:cs="Times New Roman"/>
          <w:i/>
        </w:rPr>
        <w:t>Methods of Soil Analysis</w:t>
      </w:r>
      <w:r w:rsidRPr="00326E64">
        <w:rPr>
          <w:rFonts w:ascii="Times New Roman" w:eastAsia="Calibri" w:hAnsi="Times New Roman" w:cs="Times New Roman"/>
        </w:rPr>
        <w:t>, Soil Science Society of America Series (Most Recent Editions).</w:t>
      </w:r>
    </w:p>
    <w:p w14:paraId="5BC2F210"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AUTHORITY NOTE:</w:t>
      </w:r>
      <w:r w:rsidRPr="00326E64">
        <w:rPr>
          <w:rFonts w:ascii="Times New Roman" w:eastAsia="Calibri" w:hAnsi="Times New Roman" w:cs="Times New Roman"/>
        </w:rPr>
        <w:tab/>
        <w:t>Promulgated in accordance with R.S. 30:2074(B)(1)(c) and (B)(3)(e).</w:t>
      </w:r>
    </w:p>
    <w:p w14:paraId="60CD4975"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HISTORICAL NOTE:</w:t>
      </w:r>
      <w:r w:rsidRPr="00326E64">
        <w:rPr>
          <w:rFonts w:ascii="Times New Roman" w:eastAsia="Calibri" w:hAnsi="Times New Roman" w:cs="Times New Roman"/>
        </w:rPr>
        <w:tab/>
        <w:t>Promulgated by the Department of Environmental Quality, Office of Environmental Assessment, Environmental Planning Division, LR 28:781 (April 2002), repromulgated LR 30:233 (February 2004), amended by the Office of the Secretary, Legal Affairs Division, LR 31:2516 (October 2005), LR 33:2366 (November 2007), repromulgated LR 34:1028 (June 2008), amended LR 35:927 (May 2009), LR 37:2992 (October 2011), amended by the Office of the Secretary, Legal Division, LR 43:949 (May 2017), amended by the Office of the Secretary, Legal Affairs Division, LR 51:</w:t>
      </w:r>
    </w:p>
    <w:p w14:paraId="3E87F667" w14:textId="77777777" w:rsidR="00326E64" w:rsidRPr="00326E64" w:rsidRDefault="00326E64" w:rsidP="00326E64">
      <w:pPr>
        <w:spacing w:line="480" w:lineRule="auto"/>
        <w:rPr>
          <w:rFonts w:ascii="Times New Roman" w:eastAsia="Calibri" w:hAnsi="Times New Roman" w:cs="Times New Roman"/>
          <w:b/>
        </w:rPr>
      </w:pPr>
      <w:bookmarkStart w:id="10" w:name="_Toc483475157"/>
      <w:bookmarkStart w:id="11" w:name="_Toc483475158"/>
      <w:bookmarkStart w:id="12" w:name="TOC_Sect586"/>
    </w:p>
    <w:p w14:paraId="0104B2A6"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rPr>
        <w:lastRenderedPageBreak/>
        <w:t>§7303.</w:t>
      </w:r>
      <w:r w:rsidRPr="00326E64">
        <w:rPr>
          <w:rFonts w:ascii="Times New Roman" w:eastAsia="Calibri" w:hAnsi="Times New Roman" w:cs="Times New Roman"/>
          <w:b/>
        </w:rPr>
        <w:tab/>
        <w:t>Land Application</w:t>
      </w:r>
      <w:r w:rsidRPr="00326E64">
        <w:rPr>
          <w:rFonts w:ascii="Times New Roman" w:eastAsia="Calibri" w:hAnsi="Times New Roman" w:cs="Times New Roman"/>
          <w:b/>
        </w:rPr>
        <w:br/>
      </w:r>
      <w:r w:rsidRPr="00326E64">
        <w:rPr>
          <w:rFonts w:ascii="Times New Roman" w:eastAsia="Calibri" w:hAnsi="Times New Roman" w:cs="Times New Roman"/>
          <w:b/>
        </w:rPr>
        <w:tab/>
      </w:r>
      <w:r w:rsidRPr="00326E64">
        <w:rPr>
          <w:rFonts w:ascii="Times New Roman" w:eastAsia="Calibri" w:hAnsi="Times New Roman" w:cs="Times New Roman"/>
          <w:b/>
          <w:strike/>
        </w:rPr>
        <w:t>[Formerly §6903]</w:t>
      </w:r>
      <w:bookmarkEnd w:id="10"/>
    </w:p>
    <w:p w14:paraId="2C464CF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t>A. — A.1.d.</w:t>
      </w:r>
      <w:r w:rsidRPr="00326E64">
        <w:rPr>
          <w:rFonts w:ascii="Times New Roman" w:eastAsia="Calibri" w:hAnsi="Times New Roman" w:cs="Times New Roman"/>
        </w:rPr>
        <w:tab/>
        <w:t>…</w:t>
      </w:r>
    </w:p>
    <w:p w14:paraId="2004791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The general requirements in Subsection C of this Section, the other requirements for bulk biosolids in Subsection F of this Section, the general management practices in Subsection D of this Section, and the other management practices for bulk biosolids in Subsection G of this Section do not apply when bulk Exceptional Quality biosolids, as defined in LAC 33:IX.7301.B, are applied to the land and the preparer has received and maintained a permit to prepare sewage sludge as Exceptional Quality biosolids in accordance with requirements in Subsection L of this Section.</w:t>
      </w:r>
    </w:p>
    <w:p w14:paraId="66A5BA3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3.</w:t>
      </w:r>
      <w:r w:rsidRPr="00326E64">
        <w:rPr>
          <w:rFonts w:ascii="Times New Roman" w:eastAsia="Calibri" w:hAnsi="Times New Roman" w:cs="Times New Roman"/>
          <w:strike/>
        </w:rPr>
        <w:tab/>
        <w:t>The administrative authority may apply any or all of the general requirements in Subsection C of this Section, the other requirements for bulk biosolids in Subsection F of this Section, the general management practices in Subsection D of this Section, and the other management practices for bulk biosolids in Subsection G of this Section to the bulk biosolids in Paragraph A.2 of this Section on a case-by-case basis after determining that any or all of the requirements or management practices are needed to protect human health and the environment from any reasonably anticipated adverse effect that may occur from the application of the bulk biosolids to the land.</w:t>
      </w:r>
    </w:p>
    <w:p w14:paraId="7EE585D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4.</w:t>
      </w:r>
      <w:r w:rsidRPr="00326E64">
        <w:rPr>
          <w:rFonts w:ascii="Times New Roman" w:eastAsia="Calibri" w:hAnsi="Times New Roman" w:cs="Times New Roman"/>
          <w:strike/>
        </w:rPr>
        <w:tab/>
        <w:t xml:space="preserve">The general requirements in Subsection C of this Section and the general management practices in Subsection D of this Section do not apply if the biosolids sold or given away in a bag or other container are Exceptional Quality biosolids, as defined in LAC 33:IX.7301.B, and the preparer has received and maintained a permit to prepare sewage sludge </w:t>
      </w:r>
      <w:r w:rsidRPr="00326E64">
        <w:rPr>
          <w:rFonts w:ascii="Times New Roman" w:eastAsia="Calibri" w:hAnsi="Times New Roman" w:cs="Times New Roman"/>
          <w:strike/>
        </w:rPr>
        <w:lastRenderedPageBreak/>
        <w:t>as Exceptional Quality biosolids in accordance with the requirements in Subsection L of this Section.</w:t>
      </w:r>
    </w:p>
    <w:p w14:paraId="464B7D2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5.</w:t>
      </w:r>
      <w:r w:rsidRPr="00326E64">
        <w:rPr>
          <w:rFonts w:ascii="Times New Roman" w:eastAsia="Calibri" w:hAnsi="Times New Roman" w:cs="Times New Roman"/>
          <w:strike/>
        </w:rPr>
        <w:tab/>
        <w:t>The administrative authority may apply any or all of the general requirements in Subsection C of this Section and the general management practices in Subsection D of this Section to the biosolids in Paragraph A.4 of this Section on a case-by-case basis after determining that the requirements or the management practices are needed to protect human health and the environment from any reasonably anticipated adverse effect that may occur from the application of the biosolids to the land.</w:t>
      </w:r>
    </w:p>
    <w:p w14:paraId="590C9C3A"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t>B.</w:t>
      </w:r>
      <w:r w:rsidRPr="00326E64">
        <w:rPr>
          <w:rFonts w:ascii="Times New Roman" w:eastAsia="Calibri" w:hAnsi="Times New Roman" w:cs="Times New Roman"/>
        </w:rPr>
        <w:tab/>
        <w:t>Special Definitions</w:t>
      </w:r>
    </w:p>
    <w:p w14:paraId="53D24838" w14:textId="77777777" w:rsidR="00326E64" w:rsidRPr="00326E64" w:rsidRDefault="00326E64" w:rsidP="00326E64">
      <w:pPr>
        <w:spacing w:line="480" w:lineRule="auto"/>
        <w:jc w:val="center"/>
        <w:rPr>
          <w:rFonts w:ascii="Times New Roman" w:eastAsia="Calibri" w:hAnsi="Times New Roman" w:cs="Times New Roman"/>
        </w:rPr>
      </w:pPr>
      <w:r w:rsidRPr="00326E64">
        <w:rPr>
          <w:rFonts w:ascii="Times New Roman" w:eastAsia="Calibri" w:hAnsi="Times New Roman" w:cs="Times New Roman"/>
        </w:rPr>
        <w:t>* * *</w:t>
      </w:r>
    </w:p>
    <w:p w14:paraId="45295C7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General Requirements</w:t>
      </w:r>
    </w:p>
    <w:p w14:paraId="5ECC3B8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When a person who prepares sewage sludge provides the sewage sludge to another person who prepares the sewage sludge, the person who receives the sewage sludge shall comply with the requirements in this Chapter.</w:t>
      </w:r>
    </w:p>
    <w:p w14:paraId="5C15B4F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The person who provides the sewage sludge shall provide the person who receives the sewage sludge with the following information:</w:t>
      </w:r>
    </w:p>
    <w:p w14:paraId="47CD382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name, mailing address, and location of the facility or facilities of the person providing the sewage sludge;</w:t>
      </w:r>
    </w:p>
    <w:p w14:paraId="26F0461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total dry metric tons being provided per 365-day period; and</w:t>
      </w:r>
    </w:p>
    <w:p w14:paraId="6ABE18A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a description of any treatment processes occurring at the providing facility or facilities, including blending, composting, or mixing activities and the treatment to reduce pathogens and/or vector attraction reduction.</w:t>
      </w:r>
    </w:p>
    <w:p w14:paraId="19C59EC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strike/>
        </w:rPr>
        <w:t>3.</w:t>
      </w:r>
      <w:r w:rsidRPr="00326E64">
        <w:rPr>
          <w:rFonts w:ascii="Times New Roman" w:eastAsia="Calibri" w:hAnsi="Times New Roman" w:cs="Times New Roman"/>
          <w:strike/>
        </w:rPr>
        <w:tab/>
        <w:t>No person shall apply biosolids to the land except in accordance with the requirements in this Chapter.</w:t>
      </w:r>
    </w:p>
    <w:p w14:paraId="4D68404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4.</w:t>
      </w:r>
      <w:r w:rsidRPr="00326E64">
        <w:rPr>
          <w:rFonts w:ascii="Times New Roman" w:eastAsia="Calibri" w:hAnsi="Times New Roman" w:cs="Times New Roman"/>
          <w:strike/>
        </w:rPr>
        <w:tab/>
        <w:t>Biosolids shall not be applied to the land until the site has been approved by the administrative authority with a finding that the land application site is a legitimate beneficial use site.</w:t>
      </w:r>
    </w:p>
    <w:p w14:paraId="3375FE4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General Management Practices</w:t>
      </w:r>
    </w:p>
    <w:p w14:paraId="50A84BD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Land Application Restrictions</w:t>
      </w:r>
    </w:p>
    <w:p w14:paraId="63719E5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Biosolids applied to agricultural land, forest, a public contact site, or a reclamation site shall only be applied at a whole biosolids application rate that is equal to or less than the agronomic rate for the biosolids, unless, in the case of a reclamation site, otherwise specified by the permitting authority.</w:t>
      </w:r>
    </w:p>
    <w:p w14:paraId="18D359E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Biosolids shall be applied to the land in accordance with the slope requirements in Table 1 of LAC 33:IX.7303.D.</w:t>
      </w:r>
    </w:p>
    <w:p w14:paraId="7F2CA98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Biosolids having a concentration of PCBs equal to or greater than 10 mg/kg of total solids (dry wt.) must be incorporated into the soil regardless of slope.</w:t>
      </w:r>
    </w:p>
    <w:p w14:paraId="6F70FCE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Buffer Zones. When biosolids are applied to agricultural land, forest, or a reclamation site, buffer zones shall be established as follows for each application area, unless otherwise specified by the administrative authority.</w:t>
      </w:r>
    </w:p>
    <w:p w14:paraId="5CA4229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For all sites, the following buffer zone requirements apply:</w:t>
      </w:r>
    </w:p>
    <w:p w14:paraId="1FCF8C2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a private potable water supply well—300 feet, unless special permission is granted by the private potable water supply owner;</w:t>
      </w:r>
    </w:p>
    <w:p w14:paraId="7840FF8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a public potable water supply well, surface water intake, treatment plant, or public potable water supply elevated or ground storage tank—300 feet, unless special permission is granted by the Department of Health and Hospitals; and</w:t>
      </w:r>
    </w:p>
    <w:p w14:paraId="7097907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a property boundary—100 feet, unless special permission is granted by the property owner(s).</w:t>
      </w:r>
    </w:p>
    <w:p w14:paraId="018E2EE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For new or first-time-permitted sites, the following buffer zone requirements apply:</w:t>
      </w:r>
    </w:p>
    <w:p w14:paraId="46A914C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an established institution, as defined in LAC 33:IX.7301.B—1,000 feet, unless special permission is granted by the responsible official of the established institution. The permission must be in the form of a notarized affidavit executed by the owner waiving the 1,000-foot buffer zone. However, in no case shall the application area be located less than 200 feet from an institution; and</w:t>
      </w:r>
    </w:p>
    <w:p w14:paraId="5F8EE21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an occupied residential home or structure—500 feet, unless special permission is granted by the owner and/or lessee of the occupied residential home or structure. The permission must be in the form of a notarized affidavit executed by the owner and/or lessee waiving the 500-foot buffer zone. However, in no case shall land application of sewage sludge be conducted less than 200 feet from the occupied residential home or structure.</w:t>
      </w:r>
    </w:p>
    <w:p w14:paraId="07859DA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3.</w:t>
      </w:r>
      <w:r w:rsidRPr="00326E64">
        <w:rPr>
          <w:rFonts w:ascii="Times New Roman" w:eastAsia="Calibri" w:hAnsi="Times New Roman" w:cs="Times New Roman"/>
          <w:strike/>
        </w:rPr>
        <w:tab/>
        <w:t>Water Table Levels. Biosolids shall not be applied to agricultural land, forest, or a reclamation site during the months when the water table is less than or at 2 feet below the soil surface as indicated in the Parish Soil Surveys or the Water Features Data published by the Natural Resources Conservation Service (NRCS); or some form of monitoring device shall be provided to ensure that the annual high water table is greater than 2 feet below the soil surface.</w:t>
      </w:r>
    </w:p>
    <w:p w14:paraId="2BFEA43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strike/>
        </w:rPr>
        <w:t>4.</w:t>
      </w:r>
      <w:r w:rsidRPr="00326E64">
        <w:rPr>
          <w:rFonts w:ascii="Times New Roman" w:eastAsia="Calibri" w:hAnsi="Times New Roman" w:cs="Times New Roman"/>
          <w:strike/>
        </w:rPr>
        <w:tab/>
        <w:t>Nutrient Management Plan and Soil Sampling. The person who applies biosolids to agricultural or forest land shall:</w:t>
      </w:r>
    </w:p>
    <w:p w14:paraId="62EF2F9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provide proof to the administrative authority that a full nutrient management plan has been developed for the agricultural or forest land where the biosolids are applied. The full nutrient management plan shall be developed by the Natural Resource Conservation Service, a certified soil scientist, a certified crop advisor, or a local LSU Agricultural Center Cooperative Extension Service agent; or</w:t>
      </w:r>
    </w:p>
    <w:p w14:paraId="0D02A57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sample the soil at the site or sites where biosolids are land-applied on an annual basis, or, if double cropping is practiced, prior to the planting of each crop, for the following parameters:</w:t>
      </w:r>
    </w:p>
    <w:p w14:paraId="3993146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total Kjeldahl nitrogen;</w:t>
      </w:r>
    </w:p>
    <w:p w14:paraId="5A83BB5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total nitrates;</w:t>
      </w:r>
    </w:p>
    <w:p w14:paraId="0AB7E53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total nitrites;</w:t>
      </w:r>
    </w:p>
    <w:p w14:paraId="4BE0F6D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total phosphorus;</w:t>
      </w:r>
    </w:p>
    <w:p w14:paraId="106ABF7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w:t>
      </w:r>
      <w:r w:rsidRPr="00326E64">
        <w:rPr>
          <w:rFonts w:ascii="Times New Roman" w:eastAsia="Calibri" w:hAnsi="Times New Roman" w:cs="Times New Roman"/>
          <w:strike/>
        </w:rPr>
        <w:tab/>
        <w:t>total potassium; and</w:t>
      </w:r>
    </w:p>
    <w:p w14:paraId="6A3F3F5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w:t>
      </w:r>
      <w:r w:rsidRPr="00326E64">
        <w:rPr>
          <w:rFonts w:ascii="Times New Roman" w:eastAsia="Calibri" w:hAnsi="Times New Roman" w:cs="Times New Roman"/>
          <w:strike/>
        </w:rPr>
        <w:tab/>
        <w:t>pH.</w:t>
      </w:r>
    </w:p>
    <w:p w14:paraId="176EF9E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5.</w:t>
      </w:r>
      <w:r w:rsidRPr="00326E64">
        <w:rPr>
          <w:rFonts w:ascii="Times New Roman" w:eastAsia="Calibri" w:hAnsi="Times New Roman" w:cs="Times New Roman"/>
          <w:strike/>
        </w:rPr>
        <w:tab/>
        <w:t>Biosolids Sold or Given Away in a Bag or Other Container</w:t>
      </w:r>
    </w:p>
    <w:p w14:paraId="1774E27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Biosolids sold or given away in a bag or other container shall not be applied to the land at a rate that would cause any of the annual pollutant loading rates in Table 4 of LAC 33:IX.7303.E to be exceeded.</w:t>
      </w:r>
    </w:p>
    <w:p w14:paraId="7A20ABC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 xml:space="preserve">The permittee shall either affix a label to the bag or other container holding biosolids that are sold or given away for application to the land, or provide an information sheet to the person who receives biosolids sold or given away in a bag or other </w:t>
      </w:r>
      <w:r w:rsidRPr="00326E64">
        <w:rPr>
          <w:rFonts w:ascii="Times New Roman" w:eastAsia="Calibri" w:hAnsi="Times New Roman" w:cs="Times New Roman"/>
          <w:strike/>
        </w:rPr>
        <w:lastRenderedPageBreak/>
        <w:t>container for application to the land. The label or information sheet shall contain the following information:</w:t>
      </w:r>
    </w:p>
    <w:p w14:paraId="526A9BC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information required in Clauses L.1.f.i-ix of this Section, and if the biosolids are compost, the information in Clauses L.1.g.i-vi of this Section; and</w:t>
      </w:r>
    </w:p>
    <w:p w14:paraId="5EE6FAD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the annual whole biosolids application rate that does not cause any of the annual pollutant loading rates in Table 4 of LAC 33:IX.7303.E to be exceeded.</w:t>
      </w:r>
    </w:p>
    <w:tbl>
      <w:tblPr>
        <w:tblW w:w="5385" w:type="dxa"/>
        <w:jc w:val="center"/>
        <w:tblBorders>
          <w:top w:val="double" w:sz="6" w:space="0" w:color="auto"/>
          <w:left w:val="double" w:sz="6" w:space="0" w:color="auto"/>
          <w:bottom w:val="double" w:sz="6" w:space="0" w:color="auto"/>
          <w:right w:val="double" w:sz="6" w:space="0" w:color="auto"/>
          <w:insideH w:val="single" w:sz="6"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777"/>
        <w:gridCol w:w="3600"/>
        <w:gridCol w:w="8"/>
      </w:tblGrid>
      <w:tr w:rsidR="00326E64" w:rsidRPr="00326E64" w14:paraId="2FDC2D02" w14:textId="77777777" w:rsidTr="00A54079">
        <w:trPr>
          <w:cantSplit/>
          <w:tblHeader/>
          <w:jc w:val="center"/>
        </w:trPr>
        <w:tc>
          <w:tcPr>
            <w:tcW w:w="5385" w:type="dxa"/>
            <w:gridSpan w:val="3"/>
            <w:tcBorders>
              <w:top w:val="double" w:sz="6" w:space="0" w:color="auto"/>
              <w:bottom w:val="single" w:sz="6" w:space="0" w:color="000000"/>
            </w:tcBorders>
            <w:shd w:val="clear" w:color="auto" w:fill="auto"/>
          </w:tcPr>
          <w:p w14:paraId="5E31998A"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Table 1 of LAC 33:IX.7303.D</w:t>
            </w:r>
          </w:p>
        </w:tc>
      </w:tr>
      <w:tr w:rsidR="00326E64" w:rsidRPr="00326E64" w14:paraId="14AEA5FC" w14:textId="77777777" w:rsidTr="00A54079">
        <w:trPr>
          <w:cantSplit/>
          <w:tblHeader/>
          <w:jc w:val="center"/>
        </w:trPr>
        <w:tc>
          <w:tcPr>
            <w:tcW w:w="5385" w:type="dxa"/>
            <w:gridSpan w:val="3"/>
            <w:tcBorders>
              <w:top w:val="single" w:sz="6" w:space="0" w:color="000000"/>
              <w:bottom w:val="single" w:sz="6" w:space="0" w:color="000000"/>
            </w:tcBorders>
            <w:shd w:val="clear" w:color="auto" w:fill="auto"/>
          </w:tcPr>
          <w:p w14:paraId="2CB77274"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Slope Limitations for Land Application of Biosolids</w:t>
            </w:r>
          </w:p>
        </w:tc>
      </w:tr>
      <w:tr w:rsidR="00326E64" w:rsidRPr="00326E64" w14:paraId="41239181" w14:textId="77777777" w:rsidTr="00A54079">
        <w:trPr>
          <w:gridAfter w:val="1"/>
          <w:wAfter w:w="8" w:type="dxa"/>
          <w:cantSplit/>
          <w:tblHeader/>
          <w:jc w:val="center"/>
        </w:trPr>
        <w:tc>
          <w:tcPr>
            <w:tcW w:w="1777" w:type="dxa"/>
            <w:tcBorders>
              <w:top w:val="single" w:sz="6" w:space="0" w:color="000000"/>
              <w:bottom w:val="single" w:sz="6" w:space="0" w:color="000000"/>
            </w:tcBorders>
            <w:shd w:val="clear" w:color="auto" w:fill="auto"/>
          </w:tcPr>
          <w:p w14:paraId="0B225FDC"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Slope Percent</w:t>
            </w:r>
          </w:p>
        </w:tc>
        <w:tc>
          <w:tcPr>
            <w:tcW w:w="3600" w:type="dxa"/>
            <w:tcBorders>
              <w:top w:val="single" w:sz="6" w:space="0" w:color="000000"/>
              <w:bottom w:val="single" w:sz="6" w:space="0" w:color="000000"/>
            </w:tcBorders>
            <w:shd w:val="clear" w:color="auto" w:fill="auto"/>
            <w:vAlign w:val="center"/>
          </w:tcPr>
          <w:p w14:paraId="40C42DF3"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Application Restriction</w:t>
            </w:r>
          </w:p>
        </w:tc>
      </w:tr>
      <w:tr w:rsidR="00326E64" w:rsidRPr="00326E64" w14:paraId="57242DC2" w14:textId="77777777" w:rsidTr="00A54079">
        <w:trPr>
          <w:gridAfter w:val="1"/>
          <w:wAfter w:w="8" w:type="dxa"/>
          <w:cantSplit/>
          <w:jc w:val="center"/>
        </w:trPr>
        <w:tc>
          <w:tcPr>
            <w:tcW w:w="1777" w:type="dxa"/>
            <w:tcBorders>
              <w:top w:val="single" w:sz="6" w:space="0" w:color="000000"/>
            </w:tcBorders>
          </w:tcPr>
          <w:p w14:paraId="0C91CD9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0-3</w:t>
            </w:r>
          </w:p>
        </w:tc>
        <w:tc>
          <w:tcPr>
            <w:tcW w:w="3600" w:type="dxa"/>
            <w:tcBorders>
              <w:top w:val="single" w:sz="6" w:space="0" w:color="000000"/>
            </w:tcBorders>
          </w:tcPr>
          <w:p w14:paraId="5089F26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None, except drainage to prevent standing water shall be provided.</w:t>
            </w:r>
          </w:p>
        </w:tc>
      </w:tr>
      <w:tr w:rsidR="00326E64" w:rsidRPr="00326E64" w14:paraId="7AFB683B" w14:textId="77777777" w:rsidTr="00A54079">
        <w:trPr>
          <w:gridAfter w:val="1"/>
          <w:wAfter w:w="8" w:type="dxa"/>
          <w:cantSplit/>
          <w:jc w:val="center"/>
        </w:trPr>
        <w:tc>
          <w:tcPr>
            <w:tcW w:w="1777" w:type="dxa"/>
          </w:tcPr>
          <w:p w14:paraId="21FC3FF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3-6</w:t>
            </w:r>
          </w:p>
        </w:tc>
        <w:tc>
          <w:tcPr>
            <w:tcW w:w="3600" w:type="dxa"/>
          </w:tcPr>
          <w:p w14:paraId="652FEF4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 100-foot vegetated runoff area should be provided at the down slope end of the application area if a liquid is applied. Measures should be taken to prevent erosion.</w:t>
            </w:r>
          </w:p>
        </w:tc>
      </w:tr>
      <w:tr w:rsidR="00326E64" w:rsidRPr="00326E64" w14:paraId="3083EE82" w14:textId="77777777" w:rsidTr="00A54079">
        <w:trPr>
          <w:gridAfter w:val="1"/>
          <w:wAfter w:w="8" w:type="dxa"/>
          <w:cantSplit/>
          <w:jc w:val="center"/>
        </w:trPr>
        <w:tc>
          <w:tcPr>
            <w:tcW w:w="1777" w:type="dxa"/>
          </w:tcPr>
          <w:p w14:paraId="19DA9FC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lastRenderedPageBreak/>
              <w:t>6-12</w:t>
            </w:r>
          </w:p>
        </w:tc>
        <w:tc>
          <w:tcPr>
            <w:tcW w:w="3600" w:type="dxa"/>
          </w:tcPr>
          <w:p w14:paraId="7330C1B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Liquid material must be injected into the soil. Solid material must be incorporated into the soil if the site is not covered with vegetation. A 100-foot vegetated runoff area is required at the down slope end of the application area for all applications. Measures must be taken to prevent erosion. Terracing may be required if deemed a necessity by the administrative authority to prevent runoff from the land application site and erosion.</w:t>
            </w:r>
          </w:p>
        </w:tc>
      </w:tr>
      <w:tr w:rsidR="00326E64" w:rsidRPr="00326E64" w14:paraId="5534D016" w14:textId="77777777" w:rsidTr="00A54079">
        <w:trPr>
          <w:gridAfter w:val="1"/>
          <w:wAfter w:w="8" w:type="dxa"/>
          <w:cantSplit/>
          <w:jc w:val="center"/>
        </w:trPr>
        <w:tc>
          <w:tcPr>
            <w:tcW w:w="1777" w:type="dxa"/>
          </w:tcPr>
          <w:p w14:paraId="5061BC1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lastRenderedPageBreak/>
              <w:t>&gt;12</w:t>
            </w:r>
          </w:p>
        </w:tc>
        <w:tc>
          <w:tcPr>
            <w:tcW w:w="3600" w:type="dxa"/>
          </w:tcPr>
          <w:p w14:paraId="507936B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Unsuitable for application unless terraces are constructed and a 200-foot vegetated buffer area with a slope of less than 3 percent is provided at the down slope edge of the application area and the material is incorporated (solid material) and injected (liquid material) into the soil. Measures must be taken to prevent runoff from the land application site and to prevent erosion.</w:t>
            </w:r>
          </w:p>
        </w:tc>
      </w:tr>
    </w:tbl>
    <w:p w14:paraId="661FD260" w14:textId="77777777" w:rsidR="00326E64" w:rsidRPr="00326E64" w:rsidRDefault="00326E64" w:rsidP="00326E64">
      <w:pPr>
        <w:spacing w:line="480" w:lineRule="auto"/>
        <w:rPr>
          <w:rFonts w:ascii="Times New Roman" w:eastAsia="Calibri" w:hAnsi="Times New Roman" w:cs="Times New Roman"/>
          <w:strike/>
        </w:rPr>
      </w:pPr>
    </w:p>
    <w:p w14:paraId="6DD6ACC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Pollutant Limits</w:t>
      </w:r>
    </w:p>
    <w:p w14:paraId="5FAF2A7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Sewage Sludge and Biosolids</w:t>
      </w:r>
    </w:p>
    <w:p w14:paraId="5DFC8E2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Bulk biosolids or biosolids sold or given away in a bag or other container shall not be applied to the land if the concentration of any pollutant in the biosolids exceeds the ceiling concentration for the pollutant in Table 1 of LAC 33:IX.7303.E.</w:t>
      </w:r>
    </w:p>
    <w:p w14:paraId="3CE6BBE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If bulk biosolids are applied to agricultural land, forest, a public contact site, or a reclamation site, either:</w:t>
      </w:r>
    </w:p>
    <w:p w14:paraId="7AC41E5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cumulative loading rate for each pollutant in the biosolids shall not exceed the cumulative pollutant loading rate for the pollutant in Table 2 of LAC 33:IX.7303.E; or</w:t>
      </w:r>
    </w:p>
    <w:p w14:paraId="50CC754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the concentration of each pollutant in the biosolids shall not exceed the concentration for the pollutant in Table 3 of LAC 33:IX.7303.E.</w:t>
      </w:r>
    </w:p>
    <w:p w14:paraId="4EBCDD5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If biosolids are applied to a lawn or a home garden, the concentration of each pollutant in the biosolids shall not exceed the ceiling concentrations in Table 1 of LAC 33:IX.7303.E and the pollutant concentrations for each pollutant listed in Table 3 of LAC 33:IX.7303.E, and the concentration of PCBs must be less than 10 mg/kg of total solids (dry wt.).</w:t>
      </w:r>
    </w:p>
    <w:p w14:paraId="3E835E2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If biosolids are sold or given away in a bag or other container for application to the land, either:</w:t>
      </w:r>
    </w:p>
    <w:p w14:paraId="50C0671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concentration of each pollutant in the biosolids shall not exceed the ceiling concentration for the pollutant in Table 1 of LAC 33:IX.7303.E and the concentration for the pollutant in Table 3 of LAC 33:IX.7303.E, and the concentration of PCBs must be less than 10 mg/kg of total solids (dry wt.); or</w:t>
      </w:r>
    </w:p>
    <w:p w14:paraId="0040DF6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 xml:space="preserve">the product of the concentration of each pollutant in the biosolids and the annual whole biosolids application rate for the sewage sludge shall not cause the annual pollutant loading rate for the pollutant in Table 4 of LAC 33:IX.7303.E to be exceeded, and the concentration of PCBs must be less than 10 mg/kg of total solids (dry wt.). </w:t>
      </w:r>
      <w:r w:rsidRPr="00326E64">
        <w:rPr>
          <w:rFonts w:ascii="Times New Roman" w:eastAsia="Calibri" w:hAnsi="Times New Roman" w:cs="Times New Roman"/>
          <w:strike/>
        </w:rPr>
        <w:lastRenderedPageBreak/>
        <w:t>The procedure used to determine the annual whole biosolids application rate is presented in LAC 33:IX.7397.Appendix K.</w:t>
      </w:r>
    </w:p>
    <w:p w14:paraId="53C6AB9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The administrative authority may require that the biosolids meet more stringent pollutant limits or limits for additional pollutants than those listed in the Tables of LAC 33:IX.7303.E on a case-by-case basis after determining that the more stringent pollutant limits or limits for additional pollutants are needed to protect human health and the environment from any reasonably anticipated adverse effect that may occur from the application of the biosolids to the land.</w:t>
      </w:r>
    </w:p>
    <w:p w14:paraId="07B266E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Pollutant Concentrations and Loading Rates—Biosolids</w:t>
      </w:r>
    </w:p>
    <w:p w14:paraId="62235F7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Ceiling Concentrations</w:t>
      </w:r>
    </w:p>
    <w:tbl>
      <w:tblPr>
        <w:tblW w:w="0" w:type="auto"/>
        <w:tblInd w:w="294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265"/>
        <w:gridCol w:w="2685"/>
      </w:tblGrid>
      <w:tr w:rsidR="00326E64" w:rsidRPr="00326E64" w14:paraId="40BBD276" w14:textId="77777777" w:rsidTr="00A54079">
        <w:trPr>
          <w:cantSplit/>
          <w:tblHeader/>
        </w:trPr>
        <w:tc>
          <w:tcPr>
            <w:tcW w:w="4950" w:type="dxa"/>
            <w:gridSpan w:val="2"/>
            <w:tcBorders>
              <w:top w:val="double" w:sz="6" w:space="0" w:color="auto"/>
              <w:bottom w:val="single" w:sz="6" w:space="0" w:color="auto"/>
            </w:tcBorders>
            <w:shd w:val="clear" w:color="auto" w:fill="auto"/>
          </w:tcPr>
          <w:p w14:paraId="02137D55"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Table 1 of LAC 33:IX.7303.E</w:t>
            </w:r>
          </w:p>
        </w:tc>
      </w:tr>
      <w:tr w:rsidR="00326E64" w:rsidRPr="00326E64" w14:paraId="29616D63" w14:textId="77777777" w:rsidTr="00A54079">
        <w:trPr>
          <w:cantSplit/>
          <w:tblHeader/>
        </w:trPr>
        <w:tc>
          <w:tcPr>
            <w:tcW w:w="4950" w:type="dxa"/>
            <w:gridSpan w:val="2"/>
            <w:tcBorders>
              <w:top w:val="single" w:sz="6" w:space="0" w:color="auto"/>
              <w:bottom w:val="single" w:sz="6" w:space="0" w:color="auto"/>
            </w:tcBorders>
            <w:shd w:val="clear" w:color="auto" w:fill="auto"/>
          </w:tcPr>
          <w:p w14:paraId="0085D5A3"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Ceiling Concentrations</w:t>
            </w:r>
          </w:p>
        </w:tc>
      </w:tr>
      <w:tr w:rsidR="00326E64" w:rsidRPr="00326E64" w14:paraId="65B1E875" w14:textId="77777777" w:rsidTr="00A54079">
        <w:trPr>
          <w:cantSplit/>
          <w:tblHeader/>
        </w:trPr>
        <w:tc>
          <w:tcPr>
            <w:tcW w:w="2265" w:type="dxa"/>
            <w:tcBorders>
              <w:top w:val="single" w:sz="6" w:space="0" w:color="auto"/>
              <w:bottom w:val="single" w:sz="6" w:space="0" w:color="auto"/>
            </w:tcBorders>
            <w:shd w:val="clear" w:color="auto" w:fill="auto"/>
            <w:vAlign w:val="center"/>
          </w:tcPr>
          <w:p w14:paraId="19AE3806"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Pollutant</w:t>
            </w:r>
          </w:p>
        </w:tc>
        <w:tc>
          <w:tcPr>
            <w:tcW w:w="2685" w:type="dxa"/>
            <w:tcBorders>
              <w:top w:val="single" w:sz="6" w:space="0" w:color="auto"/>
              <w:bottom w:val="single" w:sz="6" w:space="0" w:color="auto"/>
            </w:tcBorders>
            <w:shd w:val="clear" w:color="auto" w:fill="auto"/>
            <w:vAlign w:val="center"/>
          </w:tcPr>
          <w:p w14:paraId="4BA800FA"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Ceiling Concentration</w:t>
            </w:r>
          </w:p>
          <w:p w14:paraId="073A6142"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(milligrams per kilogram)1</w:t>
            </w:r>
          </w:p>
        </w:tc>
      </w:tr>
      <w:tr w:rsidR="00326E64" w:rsidRPr="00326E64" w14:paraId="3CD4A801" w14:textId="77777777" w:rsidTr="00A54079">
        <w:trPr>
          <w:cantSplit/>
        </w:trPr>
        <w:tc>
          <w:tcPr>
            <w:tcW w:w="2265" w:type="dxa"/>
            <w:tcBorders>
              <w:top w:val="single" w:sz="6" w:space="0" w:color="auto"/>
            </w:tcBorders>
          </w:tcPr>
          <w:p w14:paraId="752FB54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Arsenic</w:t>
            </w:r>
          </w:p>
        </w:tc>
        <w:tc>
          <w:tcPr>
            <w:tcW w:w="2685" w:type="dxa"/>
            <w:tcBorders>
              <w:top w:val="single" w:sz="6" w:space="0" w:color="auto"/>
            </w:tcBorders>
          </w:tcPr>
          <w:p w14:paraId="424A70C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75</w:t>
            </w:r>
          </w:p>
        </w:tc>
      </w:tr>
      <w:tr w:rsidR="00326E64" w:rsidRPr="00326E64" w14:paraId="45B770D0" w14:textId="77777777" w:rsidTr="00A54079">
        <w:trPr>
          <w:cantSplit/>
          <w:trHeight w:val="183"/>
        </w:trPr>
        <w:tc>
          <w:tcPr>
            <w:tcW w:w="2265" w:type="dxa"/>
          </w:tcPr>
          <w:p w14:paraId="453E0CE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Cadmium</w:t>
            </w:r>
          </w:p>
        </w:tc>
        <w:tc>
          <w:tcPr>
            <w:tcW w:w="2685" w:type="dxa"/>
          </w:tcPr>
          <w:p w14:paraId="78829C6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85</w:t>
            </w:r>
          </w:p>
        </w:tc>
      </w:tr>
      <w:tr w:rsidR="00326E64" w:rsidRPr="00326E64" w14:paraId="1E523441" w14:textId="77777777" w:rsidTr="00A54079">
        <w:trPr>
          <w:cantSplit/>
        </w:trPr>
        <w:tc>
          <w:tcPr>
            <w:tcW w:w="2265" w:type="dxa"/>
          </w:tcPr>
          <w:p w14:paraId="296FC16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Copper</w:t>
            </w:r>
          </w:p>
        </w:tc>
        <w:tc>
          <w:tcPr>
            <w:tcW w:w="2685" w:type="dxa"/>
          </w:tcPr>
          <w:p w14:paraId="3F5AED6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4300</w:t>
            </w:r>
          </w:p>
        </w:tc>
      </w:tr>
      <w:tr w:rsidR="00326E64" w:rsidRPr="00326E64" w14:paraId="75EA5A63" w14:textId="77777777" w:rsidTr="00A54079">
        <w:trPr>
          <w:cantSplit/>
        </w:trPr>
        <w:tc>
          <w:tcPr>
            <w:tcW w:w="2265" w:type="dxa"/>
          </w:tcPr>
          <w:p w14:paraId="52AB5F0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Lead</w:t>
            </w:r>
          </w:p>
        </w:tc>
        <w:tc>
          <w:tcPr>
            <w:tcW w:w="2685" w:type="dxa"/>
          </w:tcPr>
          <w:p w14:paraId="136A73D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840</w:t>
            </w:r>
          </w:p>
        </w:tc>
      </w:tr>
      <w:tr w:rsidR="00326E64" w:rsidRPr="00326E64" w14:paraId="023C41BB" w14:textId="77777777" w:rsidTr="00A54079">
        <w:trPr>
          <w:cantSplit/>
        </w:trPr>
        <w:tc>
          <w:tcPr>
            <w:tcW w:w="2265" w:type="dxa"/>
          </w:tcPr>
          <w:p w14:paraId="3A9A880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Mercury</w:t>
            </w:r>
          </w:p>
        </w:tc>
        <w:tc>
          <w:tcPr>
            <w:tcW w:w="2685" w:type="dxa"/>
          </w:tcPr>
          <w:p w14:paraId="5560EBA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57</w:t>
            </w:r>
          </w:p>
        </w:tc>
      </w:tr>
      <w:tr w:rsidR="00326E64" w:rsidRPr="00326E64" w14:paraId="087A0160" w14:textId="77777777" w:rsidTr="00A54079">
        <w:trPr>
          <w:cantSplit/>
        </w:trPr>
        <w:tc>
          <w:tcPr>
            <w:tcW w:w="2265" w:type="dxa"/>
          </w:tcPr>
          <w:p w14:paraId="5CB245E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Molybdenum</w:t>
            </w:r>
          </w:p>
        </w:tc>
        <w:tc>
          <w:tcPr>
            <w:tcW w:w="2685" w:type="dxa"/>
          </w:tcPr>
          <w:p w14:paraId="3E31684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75</w:t>
            </w:r>
          </w:p>
        </w:tc>
      </w:tr>
      <w:tr w:rsidR="00326E64" w:rsidRPr="00326E64" w14:paraId="46EBBF0B" w14:textId="77777777" w:rsidTr="00A54079">
        <w:trPr>
          <w:cantSplit/>
        </w:trPr>
        <w:tc>
          <w:tcPr>
            <w:tcW w:w="2265" w:type="dxa"/>
          </w:tcPr>
          <w:p w14:paraId="4B937F5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Nickel</w:t>
            </w:r>
          </w:p>
        </w:tc>
        <w:tc>
          <w:tcPr>
            <w:tcW w:w="2685" w:type="dxa"/>
          </w:tcPr>
          <w:p w14:paraId="748900A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420</w:t>
            </w:r>
          </w:p>
        </w:tc>
      </w:tr>
      <w:tr w:rsidR="00326E64" w:rsidRPr="00326E64" w14:paraId="0CF01240" w14:textId="77777777" w:rsidTr="00A54079">
        <w:trPr>
          <w:cantSplit/>
        </w:trPr>
        <w:tc>
          <w:tcPr>
            <w:tcW w:w="2265" w:type="dxa"/>
          </w:tcPr>
          <w:p w14:paraId="5D0CECE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Selenium</w:t>
            </w:r>
          </w:p>
        </w:tc>
        <w:tc>
          <w:tcPr>
            <w:tcW w:w="2685" w:type="dxa"/>
          </w:tcPr>
          <w:p w14:paraId="53E82C1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100</w:t>
            </w:r>
          </w:p>
        </w:tc>
      </w:tr>
      <w:tr w:rsidR="00326E64" w:rsidRPr="00326E64" w14:paraId="61DA22A8" w14:textId="77777777" w:rsidTr="00A54079">
        <w:trPr>
          <w:cantSplit/>
        </w:trPr>
        <w:tc>
          <w:tcPr>
            <w:tcW w:w="2265" w:type="dxa"/>
          </w:tcPr>
          <w:p w14:paraId="70F8D4F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lastRenderedPageBreak/>
              <w:t>Zinc</w:t>
            </w:r>
          </w:p>
        </w:tc>
        <w:tc>
          <w:tcPr>
            <w:tcW w:w="2685" w:type="dxa"/>
          </w:tcPr>
          <w:p w14:paraId="150E54D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7500</w:t>
            </w:r>
          </w:p>
        </w:tc>
      </w:tr>
      <w:tr w:rsidR="00326E64" w:rsidRPr="00326E64" w14:paraId="5F79C08C" w14:textId="77777777" w:rsidTr="00A54079">
        <w:trPr>
          <w:cantSplit/>
        </w:trPr>
        <w:tc>
          <w:tcPr>
            <w:tcW w:w="4950" w:type="dxa"/>
            <w:gridSpan w:val="2"/>
          </w:tcPr>
          <w:p w14:paraId="087083B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 Dry weight basis</w:t>
            </w:r>
          </w:p>
        </w:tc>
      </w:tr>
    </w:tbl>
    <w:p w14:paraId="5CDC961F" w14:textId="77777777" w:rsidR="00326E64" w:rsidRPr="00326E64" w:rsidRDefault="00326E64" w:rsidP="00326E64">
      <w:pPr>
        <w:spacing w:line="480" w:lineRule="auto"/>
        <w:rPr>
          <w:rFonts w:ascii="Times New Roman" w:eastAsia="Calibri" w:hAnsi="Times New Roman" w:cs="Times New Roman"/>
          <w:strike/>
        </w:rPr>
      </w:pPr>
    </w:p>
    <w:p w14:paraId="1578063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Cumulative Pollutant Loading Rates</w:t>
      </w:r>
    </w:p>
    <w:tbl>
      <w:tblPr>
        <w:tblW w:w="0" w:type="auto"/>
        <w:tblInd w:w="294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280"/>
        <w:gridCol w:w="2676"/>
      </w:tblGrid>
      <w:tr w:rsidR="00326E64" w:rsidRPr="00326E64" w14:paraId="2CDAEEF3" w14:textId="77777777" w:rsidTr="00A54079">
        <w:trPr>
          <w:cantSplit/>
          <w:tblHeader/>
        </w:trPr>
        <w:tc>
          <w:tcPr>
            <w:tcW w:w="4956" w:type="dxa"/>
            <w:gridSpan w:val="2"/>
            <w:tcBorders>
              <w:top w:val="double" w:sz="6" w:space="0" w:color="auto"/>
              <w:bottom w:val="single" w:sz="6" w:space="0" w:color="auto"/>
            </w:tcBorders>
            <w:shd w:val="clear" w:color="auto" w:fill="auto"/>
            <w:vAlign w:val="center"/>
          </w:tcPr>
          <w:p w14:paraId="38945057"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Table 2 of LAC 33:IX.7303.E</w:t>
            </w:r>
          </w:p>
        </w:tc>
      </w:tr>
      <w:tr w:rsidR="00326E64" w:rsidRPr="00326E64" w14:paraId="370609F1" w14:textId="77777777" w:rsidTr="00A54079">
        <w:trPr>
          <w:cantSplit/>
          <w:tblHeader/>
        </w:trPr>
        <w:tc>
          <w:tcPr>
            <w:tcW w:w="4956" w:type="dxa"/>
            <w:gridSpan w:val="2"/>
            <w:tcBorders>
              <w:top w:val="single" w:sz="6" w:space="0" w:color="auto"/>
              <w:bottom w:val="single" w:sz="6" w:space="0" w:color="auto"/>
            </w:tcBorders>
            <w:shd w:val="clear" w:color="auto" w:fill="auto"/>
            <w:vAlign w:val="center"/>
          </w:tcPr>
          <w:p w14:paraId="660DB5D8"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Cumulative Pollutant Loading Rates</w:t>
            </w:r>
          </w:p>
        </w:tc>
      </w:tr>
      <w:tr w:rsidR="00326E64" w:rsidRPr="00326E64" w14:paraId="6C6144FB" w14:textId="77777777" w:rsidTr="00A54079">
        <w:trPr>
          <w:cantSplit/>
          <w:tblHeader/>
        </w:trPr>
        <w:tc>
          <w:tcPr>
            <w:tcW w:w="2280" w:type="dxa"/>
            <w:tcBorders>
              <w:top w:val="single" w:sz="6" w:space="0" w:color="auto"/>
              <w:bottom w:val="single" w:sz="6" w:space="0" w:color="auto"/>
            </w:tcBorders>
            <w:shd w:val="clear" w:color="auto" w:fill="auto"/>
            <w:vAlign w:val="center"/>
          </w:tcPr>
          <w:p w14:paraId="7DB840A8"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Pollutant</w:t>
            </w:r>
          </w:p>
        </w:tc>
        <w:tc>
          <w:tcPr>
            <w:tcW w:w="2676" w:type="dxa"/>
            <w:tcBorders>
              <w:top w:val="single" w:sz="6" w:space="0" w:color="auto"/>
              <w:bottom w:val="single" w:sz="6" w:space="0" w:color="auto"/>
            </w:tcBorders>
            <w:shd w:val="clear" w:color="auto" w:fill="auto"/>
            <w:vAlign w:val="center"/>
          </w:tcPr>
          <w:p w14:paraId="209572A1"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Cumulative Pollutant Loading Rate</w:t>
            </w:r>
          </w:p>
          <w:p w14:paraId="205B5F3C"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(kilograms per hectare)</w:t>
            </w:r>
          </w:p>
        </w:tc>
      </w:tr>
      <w:tr w:rsidR="00326E64" w:rsidRPr="00326E64" w14:paraId="2218AE0F" w14:textId="77777777" w:rsidTr="00A54079">
        <w:trPr>
          <w:cantSplit/>
        </w:trPr>
        <w:tc>
          <w:tcPr>
            <w:tcW w:w="2280" w:type="dxa"/>
            <w:tcBorders>
              <w:top w:val="single" w:sz="6" w:space="0" w:color="auto"/>
            </w:tcBorders>
          </w:tcPr>
          <w:p w14:paraId="6AA0364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Arsenic</w:t>
            </w:r>
          </w:p>
        </w:tc>
        <w:tc>
          <w:tcPr>
            <w:tcW w:w="2676" w:type="dxa"/>
            <w:tcBorders>
              <w:top w:val="single" w:sz="6" w:space="0" w:color="auto"/>
            </w:tcBorders>
          </w:tcPr>
          <w:p w14:paraId="1F4E838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41</w:t>
            </w:r>
          </w:p>
        </w:tc>
      </w:tr>
      <w:tr w:rsidR="00326E64" w:rsidRPr="00326E64" w14:paraId="69DC3CE4" w14:textId="77777777" w:rsidTr="00A54079">
        <w:trPr>
          <w:cantSplit/>
        </w:trPr>
        <w:tc>
          <w:tcPr>
            <w:tcW w:w="2280" w:type="dxa"/>
          </w:tcPr>
          <w:p w14:paraId="27DA2B0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Cadmium</w:t>
            </w:r>
          </w:p>
        </w:tc>
        <w:tc>
          <w:tcPr>
            <w:tcW w:w="2676" w:type="dxa"/>
          </w:tcPr>
          <w:p w14:paraId="77B15A2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39</w:t>
            </w:r>
          </w:p>
        </w:tc>
      </w:tr>
      <w:tr w:rsidR="00326E64" w:rsidRPr="00326E64" w14:paraId="4FED9FAF" w14:textId="77777777" w:rsidTr="00A54079">
        <w:trPr>
          <w:cantSplit/>
        </w:trPr>
        <w:tc>
          <w:tcPr>
            <w:tcW w:w="2280" w:type="dxa"/>
          </w:tcPr>
          <w:p w14:paraId="4118F5F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Copper</w:t>
            </w:r>
          </w:p>
        </w:tc>
        <w:tc>
          <w:tcPr>
            <w:tcW w:w="2676" w:type="dxa"/>
          </w:tcPr>
          <w:p w14:paraId="75A1816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1500</w:t>
            </w:r>
          </w:p>
        </w:tc>
      </w:tr>
      <w:tr w:rsidR="00326E64" w:rsidRPr="00326E64" w14:paraId="5F01489C" w14:textId="77777777" w:rsidTr="00A54079">
        <w:trPr>
          <w:cantSplit/>
        </w:trPr>
        <w:tc>
          <w:tcPr>
            <w:tcW w:w="2280" w:type="dxa"/>
          </w:tcPr>
          <w:p w14:paraId="6A13EBF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Lead</w:t>
            </w:r>
          </w:p>
        </w:tc>
        <w:tc>
          <w:tcPr>
            <w:tcW w:w="2676" w:type="dxa"/>
          </w:tcPr>
          <w:p w14:paraId="19514CF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300</w:t>
            </w:r>
          </w:p>
        </w:tc>
      </w:tr>
      <w:tr w:rsidR="00326E64" w:rsidRPr="00326E64" w14:paraId="3C469231" w14:textId="77777777" w:rsidTr="00A54079">
        <w:trPr>
          <w:cantSplit/>
        </w:trPr>
        <w:tc>
          <w:tcPr>
            <w:tcW w:w="2280" w:type="dxa"/>
          </w:tcPr>
          <w:p w14:paraId="4F4B761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Mercury</w:t>
            </w:r>
          </w:p>
        </w:tc>
        <w:tc>
          <w:tcPr>
            <w:tcW w:w="2676" w:type="dxa"/>
          </w:tcPr>
          <w:p w14:paraId="1CFD4B8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17</w:t>
            </w:r>
          </w:p>
        </w:tc>
      </w:tr>
      <w:tr w:rsidR="00326E64" w:rsidRPr="00326E64" w14:paraId="2ACA92DD" w14:textId="77777777" w:rsidTr="00A54079">
        <w:trPr>
          <w:cantSplit/>
        </w:trPr>
        <w:tc>
          <w:tcPr>
            <w:tcW w:w="2280" w:type="dxa"/>
          </w:tcPr>
          <w:p w14:paraId="7A63451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Nickel</w:t>
            </w:r>
          </w:p>
        </w:tc>
        <w:tc>
          <w:tcPr>
            <w:tcW w:w="2676" w:type="dxa"/>
          </w:tcPr>
          <w:p w14:paraId="4D5E03F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420</w:t>
            </w:r>
          </w:p>
        </w:tc>
      </w:tr>
      <w:tr w:rsidR="00326E64" w:rsidRPr="00326E64" w14:paraId="5AD38A0B" w14:textId="77777777" w:rsidTr="00A54079">
        <w:trPr>
          <w:cantSplit/>
        </w:trPr>
        <w:tc>
          <w:tcPr>
            <w:tcW w:w="2280" w:type="dxa"/>
          </w:tcPr>
          <w:p w14:paraId="3870FF5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Selenium</w:t>
            </w:r>
          </w:p>
        </w:tc>
        <w:tc>
          <w:tcPr>
            <w:tcW w:w="2676" w:type="dxa"/>
          </w:tcPr>
          <w:p w14:paraId="6200FC1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100</w:t>
            </w:r>
          </w:p>
        </w:tc>
      </w:tr>
      <w:tr w:rsidR="00326E64" w:rsidRPr="00326E64" w14:paraId="3682C118" w14:textId="77777777" w:rsidTr="00A54079">
        <w:trPr>
          <w:cantSplit/>
        </w:trPr>
        <w:tc>
          <w:tcPr>
            <w:tcW w:w="2280" w:type="dxa"/>
          </w:tcPr>
          <w:p w14:paraId="0063AEB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Zinc</w:t>
            </w:r>
          </w:p>
        </w:tc>
        <w:tc>
          <w:tcPr>
            <w:tcW w:w="2676" w:type="dxa"/>
          </w:tcPr>
          <w:p w14:paraId="0B32CA2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2800</w:t>
            </w:r>
          </w:p>
        </w:tc>
      </w:tr>
    </w:tbl>
    <w:p w14:paraId="51368608" w14:textId="77777777" w:rsidR="00326E64" w:rsidRPr="00326E64" w:rsidRDefault="00326E64" w:rsidP="00326E64">
      <w:pPr>
        <w:spacing w:line="480" w:lineRule="auto"/>
        <w:rPr>
          <w:rFonts w:ascii="Times New Roman" w:eastAsia="Calibri" w:hAnsi="Times New Roman" w:cs="Times New Roman"/>
          <w:strike/>
        </w:rPr>
      </w:pPr>
    </w:p>
    <w:p w14:paraId="33C0C70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Pollutant Concentrations</w:t>
      </w:r>
    </w:p>
    <w:tbl>
      <w:tblPr>
        <w:tblW w:w="0" w:type="auto"/>
        <w:tblInd w:w="2947"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ook w:val="0000" w:firstRow="0" w:lastRow="0" w:firstColumn="0" w:lastColumn="0" w:noHBand="0" w:noVBand="0"/>
      </w:tblPr>
      <w:tblGrid>
        <w:gridCol w:w="2282"/>
        <w:gridCol w:w="2678"/>
      </w:tblGrid>
      <w:tr w:rsidR="00326E64" w:rsidRPr="00326E64" w14:paraId="76A305E8" w14:textId="77777777" w:rsidTr="00A54079">
        <w:trPr>
          <w:cantSplit/>
        </w:trPr>
        <w:tc>
          <w:tcPr>
            <w:tcW w:w="4960" w:type="dxa"/>
            <w:gridSpan w:val="2"/>
            <w:tcBorders>
              <w:top w:val="double" w:sz="6" w:space="0" w:color="auto"/>
              <w:bottom w:val="single" w:sz="6" w:space="0" w:color="auto"/>
            </w:tcBorders>
            <w:shd w:val="clear" w:color="auto" w:fill="auto"/>
            <w:vAlign w:val="center"/>
          </w:tcPr>
          <w:p w14:paraId="05A06DDA"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Table 3 of LAC 33:IX.7303.E</w:t>
            </w:r>
          </w:p>
        </w:tc>
      </w:tr>
      <w:tr w:rsidR="00326E64" w:rsidRPr="00326E64" w14:paraId="4A399625" w14:textId="77777777" w:rsidTr="00A54079">
        <w:trPr>
          <w:cantSplit/>
        </w:trPr>
        <w:tc>
          <w:tcPr>
            <w:tcW w:w="4960" w:type="dxa"/>
            <w:gridSpan w:val="2"/>
            <w:tcBorders>
              <w:top w:val="single" w:sz="6" w:space="0" w:color="auto"/>
              <w:bottom w:val="single" w:sz="6" w:space="0" w:color="auto"/>
            </w:tcBorders>
            <w:shd w:val="clear" w:color="auto" w:fill="auto"/>
            <w:vAlign w:val="center"/>
          </w:tcPr>
          <w:p w14:paraId="67267A95"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Pollutant Concentrations</w:t>
            </w:r>
          </w:p>
        </w:tc>
      </w:tr>
      <w:tr w:rsidR="00326E64" w:rsidRPr="00326E64" w14:paraId="40BB9564" w14:textId="77777777" w:rsidTr="00A54079">
        <w:trPr>
          <w:cantSplit/>
        </w:trPr>
        <w:tc>
          <w:tcPr>
            <w:tcW w:w="2282" w:type="dxa"/>
            <w:tcBorders>
              <w:top w:val="single" w:sz="6" w:space="0" w:color="auto"/>
              <w:bottom w:val="single" w:sz="6" w:space="0" w:color="auto"/>
            </w:tcBorders>
            <w:shd w:val="clear" w:color="auto" w:fill="auto"/>
            <w:vAlign w:val="center"/>
          </w:tcPr>
          <w:p w14:paraId="1E41F87D"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Pollutant</w:t>
            </w:r>
          </w:p>
        </w:tc>
        <w:tc>
          <w:tcPr>
            <w:tcW w:w="2678" w:type="dxa"/>
            <w:tcBorders>
              <w:top w:val="single" w:sz="6" w:space="0" w:color="auto"/>
              <w:bottom w:val="single" w:sz="6" w:space="0" w:color="auto"/>
            </w:tcBorders>
            <w:shd w:val="clear" w:color="auto" w:fill="auto"/>
            <w:vAlign w:val="center"/>
          </w:tcPr>
          <w:p w14:paraId="63E68E3A"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Monthly Average Concentration</w:t>
            </w:r>
          </w:p>
          <w:p w14:paraId="1EEB3777"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(milligrams per kilogram)1</w:t>
            </w:r>
          </w:p>
        </w:tc>
      </w:tr>
      <w:tr w:rsidR="00326E64" w:rsidRPr="00326E64" w14:paraId="2D452611" w14:textId="77777777" w:rsidTr="00A54079">
        <w:trPr>
          <w:cantSplit/>
        </w:trPr>
        <w:tc>
          <w:tcPr>
            <w:tcW w:w="2282" w:type="dxa"/>
            <w:tcBorders>
              <w:top w:val="single" w:sz="6" w:space="0" w:color="auto"/>
            </w:tcBorders>
          </w:tcPr>
          <w:p w14:paraId="775EE9E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Arsenic</w:t>
            </w:r>
          </w:p>
        </w:tc>
        <w:tc>
          <w:tcPr>
            <w:tcW w:w="2678" w:type="dxa"/>
            <w:tcBorders>
              <w:top w:val="single" w:sz="6" w:space="0" w:color="auto"/>
            </w:tcBorders>
          </w:tcPr>
          <w:p w14:paraId="0F40353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41</w:t>
            </w:r>
          </w:p>
        </w:tc>
      </w:tr>
      <w:tr w:rsidR="00326E64" w:rsidRPr="00326E64" w14:paraId="7C9C6993" w14:textId="77777777" w:rsidTr="00A54079">
        <w:trPr>
          <w:cantSplit/>
        </w:trPr>
        <w:tc>
          <w:tcPr>
            <w:tcW w:w="2282" w:type="dxa"/>
          </w:tcPr>
          <w:p w14:paraId="50D2136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Cadmium</w:t>
            </w:r>
          </w:p>
        </w:tc>
        <w:tc>
          <w:tcPr>
            <w:tcW w:w="2678" w:type="dxa"/>
          </w:tcPr>
          <w:p w14:paraId="263FE76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39</w:t>
            </w:r>
          </w:p>
        </w:tc>
      </w:tr>
      <w:tr w:rsidR="00326E64" w:rsidRPr="00326E64" w14:paraId="67203C46" w14:textId="77777777" w:rsidTr="00A54079">
        <w:trPr>
          <w:cantSplit/>
        </w:trPr>
        <w:tc>
          <w:tcPr>
            <w:tcW w:w="2282" w:type="dxa"/>
          </w:tcPr>
          <w:p w14:paraId="178B177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Copper</w:t>
            </w:r>
          </w:p>
        </w:tc>
        <w:tc>
          <w:tcPr>
            <w:tcW w:w="2678" w:type="dxa"/>
          </w:tcPr>
          <w:p w14:paraId="4E106C8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1500</w:t>
            </w:r>
          </w:p>
        </w:tc>
      </w:tr>
      <w:tr w:rsidR="00326E64" w:rsidRPr="00326E64" w14:paraId="504B3841" w14:textId="77777777" w:rsidTr="00A54079">
        <w:trPr>
          <w:cantSplit/>
        </w:trPr>
        <w:tc>
          <w:tcPr>
            <w:tcW w:w="2282" w:type="dxa"/>
          </w:tcPr>
          <w:p w14:paraId="5AB5435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Lead</w:t>
            </w:r>
          </w:p>
        </w:tc>
        <w:tc>
          <w:tcPr>
            <w:tcW w:w="2678" w:type="dxa"/>
          </w:tcPr>
          <w:p w14:paraId="76E5286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300</w:t>
            </w:r>
          </w:p>
        </w:tc>
      </w:tr>
      <w:tr w:rsidR="00326E64" w:rsidRPr="00326E64" w14:paraId="54188DBB" w14:textId="77777777" w:rsidTr="00A54079">
        <w:trPr>
          <w:cantSplit/>
        </w:trPr>
        <w:tc>
          <w:tcPr>
            <w:tcW w:w="2282" w:type="dxa"/>
          </w:tcPr>
          <w:p w14:paraId="70B9EAC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Mercury</w:t>
            </w:r>
          </w:p>
        </w:tc>
        <w:tc>
          <w:tcPr>
            <w:tcW w:w="2678" w:type="dxa"/>
          </w:tcPr>
          <w:p w14:paraId="2771CED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17</w:t>
            </w:r>
          </w:p>
        </w:tc>
      </w:tr>
      <w:tr w:rsidR="00326E64" w:rsidRPr="00326E64" w14:paraId="716B9F31" w14:textId="77777777" w:rsidTr="00A54079">
        <w:trPr>
          <w:cantSplit/>
        </w:trPr>
        <w:tc>
          <w:tcPr>
            <w:tcW w:w="2282" w:type="dxa"/>
          </w:tcPr>
          <w:p w14:paraId="4D021C4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Nickel</w:t>
            </w:r>
          </w:p>
        </w:tc>
        <w:tc>
          <w:tcPr>
            <w:tcW w:w="2678" w:type="dxa"/>
          </w:tcPr>
          <w:p w14:paraId="65044F8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420</w:t>
            </w:r>
          </w:p>
        </w:tc>
      </w:tr>
      <w:tr w:rsidR="00326E64" w:rsidRPr="00326E64" w14:paraId="19DB74C9" w14:textId="77777777" w:rsidTr="00A54079">
        <w:trPr>
          <w:cantSplit/>
        </w:trPr>
        <w:tc>
          <w:tcPr>
            <w:tcW w:w="2282" w:type="dxa"/>
          </w:tcPr>
          <w:p w14:paraId="48C720F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Selenium</w:t>
            </w:r>
          </w:p>
        </w:tc>
        <w:tc>
          <w:tcPr>
            <w:tcW w:w="2678" w:type="dxa"/>
          </w:tcPr>
          <w:p w14:paraId="1A49BCC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100</w:t>
            </w:r>
          </w:p>
        </w:tc>
      </w:tr>
      <w:tr w:rsidR="00326E64" w:rsidRPr="00326E64" w14:paraId="37C870D1" w14:textId="77777777" w:rsidTr="00A54079">
        <w:trPr>
          <w:cantSplit/>
        </w:trPr>
        <w:tc>
          <w:tcPr>
            <w:tcW w:w="2282" w:type="dxa"/>
          </w:tcPr>
          <w:p w14:paraId="131C04B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Zinc</w:t>
            </w:r>
          </w:p>
        </w:tc>
        <w:tc>
          <w:tcPr>
            <w:tcW w:w="2678" w:type="dxa"/>
          </w:tcPr>
          <w:p w14:paraId="34EE5F3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2800</w:t>
            </w:r>
          </w:p>
        </w:tc>
      </w:tr>
      <w:tr w:rsidR="00326E64" w:rsidRPr="00326E64" w14:paraId="5D157D7D" w14:textId="77777777" w:rsidTr="00A54079">
        <w:trPr>
          <w:cantSplit/>
        </w:trPr>
        <w:tc>
          <w:tcPr>
            <w:tcW w:w="4960" w:type="dxa"/>
            <w:gridSpan w:val="2"/>
          </w:tcPr>
          <w:p w14:paraId="1F9CCA9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1Dry weight basis</w:t>
            </w:r>
          </w:p>
        </w:tc>
      </w:tr>
    </w:tbl>
    <w:p w14:paraId="1C7C14CE" w14:textId="77777777" w:rsidR="00326E64" w:rsidRPr="00326E64" w:rsidRDefault="00326E64" w:rsidP="00326E64">
      <w:pPr>
        <w:spacing w:line="480" w:lineRule="auto"/>
        <w:rPr>
          <w:rFonts w:ascii="Times New Roman" w:eastAsia="Calibri" w:hAnsi="Times New Roman" w:cs="Times New Roman"/>
          <w:strike/>
        </w:rPr>
      </w:pPr>
    </w:p>
    <w:p w14:paraId="5F36E7F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Annual Pollutant Loading Rates</w:t>
      </w:r>
    </w:p>
    <w:tbl>
      <w:tblPr>
        <w:tblpPr w:leftFromText="180" w:rightFromText="180" w:vertAnchor="text" w:tblpX="3037" w:tblpY="1"/>
        <w:tblOverlap w:val="neve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283"/>
        <w:gridCol w:w="2678"/>
      </w:tblGrid>
      <w:tr w:rsidR="00326E64" w:rsidRPr="00326E64" w14:paraId="32B57FE2" w14:textId="77777777" w:rsidTr="00A54079">
        <w:trPr>
          <w:cantSplit/>
          <w:tblHeader/>
        </w:trPr>
        <w:tc>
          <w:tcPr>
            <w:tcW w:w="4961" w:type="dxa"/>
            <w:gridSpan w:val="2"/>
            <w:tcBorders>
              <w:top w:val="double" w:sz="6" w:space="0" w:color="auto"/>
              <w:bottom w:val="single" w:sz="6" w:space="0" w:color="auto"/>
            </w:tcBorders>
            <w:shd w:val="clear" w:color="auto" w:fill="auto"/>
            <w:vAlign w:val="center"/>
          </w:tcPr>
          <w:p w14:paraId="586EEE36"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lastRenderedPageBreak/>
              <w:t>Table 4 of LAC 33:IX.7303.E</w:t>
            </w:r>
          </w:p>
        </w:tc>
      </w:tr>
      <w:tr w:rsidR="00326E64" w:rsidRPr="00326E64" w14:paraId="7A9A0117" w14:textId="77777777" w:rsidTr="00A54079">
        <w:trPr>
          <w:cantSplit/>
          <w:tblHeader/>
        </w:trPr>
        <w:tc>
          <w:tcPr>
            <w:tcW w:w="4961" w:type="dxa"/>
            <w:gridSpan w:val="2"/>
            <w:tcBorders>
              <w:top w:val="single" w:sz="6" w:space="0" w:color="auto"/>
              <w:bottom w:val="single" w:sz="6" w:space="0" w:color="auto"/>
            </w:tcBorders>
            <w:shd w:val="clear" w:color="auto" w:fill="auto"/>
            <w:vAlign w:val="center"/>
          </w:tcPr>
          <w:p w14:paraId="77F7DB03"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Annual Pollutant Loading Rates</w:t>
            </w:r>
          </w:p>
        </w:tc>
      </w:tr>
      <w:tr w:rsidR="00326E64" w:rsidRPr="00326E64" w14:paraId="2D61AA9F" w14:textId="77777777" w:rsidTr="00A54079">
        <w:trPr>
          <w:cantSplit/>
          <w:tblHeader/>
        </w:trPr>
        <w:tc>
          <w:tcPr>
            <w:tcW w:w="2283" w:type="dxa"/>
            <w:tcBorders>
              <w:top w:val="single" w:sz="6" w:space="0" w:color="auto"/>
              <w:bottom w:val="single" w:sz="6" w:space="0" w:color="auto"/>
            </w:tcBorders>
            <w:shd w:val="clear" w:color="auto" w:fill="auto"/>
            <w:vAlign w:val="center"/>
          </w:tcPr>
          <w:p w14:paraId="0128CB11"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Pollutant</w:t>
            </w:r>
          </w:p>
        </w:tc>
        <w:tc>
          <w:tcPr>
            <w:tcW w:w="2678" w:type="dxa"/>
            <w:tcBorders>
              <w:top w:val="single" w:sz="6" w:space="0" w:color="auto"/>
              <w:bottom w:val="single" w:sz="6" w:space="0" w:color="auto"/>
            </w:tcBorders>
            <w:shd w:val="clear" w:color="auto" w:fill="auto"/>
            <w:vAlign w:val="center"/>
          </w:tcPr>
          <w:p w14:paraId="1502FA75"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Annual Pollutant Loading Rate</w:t>
            </w:r>
          </w:p>
          <w:p w14:paraId="2E4F2596"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(kilograms per hectare</w:t>
            </w:r>
            <w:r w:rsidRPr="00326E64">
              <w:rPr>
                <w:rFonts w:ascii="Times New Roman" w:eastAsia="Calibri" w:hAnsi="Times New Roman" w:cs="Times New Roman"/>
                <w:b/>
                <w:strike/>
              </w:rPr>
              <w:br/>
              <w:t>per 365-day period)</w:t>
            </w:r>
          </w:p>
        </w:tc>
      </w:tr>
      <w:tr w:rsidR="00326E64" w:rsidRPr="00326E64" w14:paraId="6489CDF9" w14:textId="77777777" w:rsidTr="00A54079">
        <w:trPr>
          <w:cantSplit/>
        </w:trPr>
        <w:tc>
          <w:tcPr>
            <w:tcW w:w="2283" w:type="dxa"/>
            <w:tcBorders>
              <w:top w:val="single" w:sz="6" w:space="0" w:color="auto"/>
            </w:tcBorders>
          </w:tcPr>
          <w:p w14:paraId="16DB5DA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Arsenic</w:t>
            </w:r>
          </w:p>
        </w:tc>
        <w:tc>
          <w:tcPr>
            <w:tcW w:w="2678" w:type="dxa"/>
            <w:tcBorders>
              <w:top w:val="single" w:sz="6" w:space="0" w:color="auto"/>
            </w:tcBorders>
          </w:tcPr>
          <w:p w14:paraId="78A4C79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2.0</w:t>
            </w:r>
          </w:p>
        </w:tc>
      </w:tr>
      <w:tr w:rsidR="00326E64" w:rsidRPr="00326E64" w14:paraId="1C9AFB6E" w14:textId="77777777" w:rsidTr="00A54079">
        <w:trPr>
          <w:cantSplit/>
        </w:trPr>
        <w:tc>
          <w:tcPr>
            <w:tcW w:w="2283" w:type="dxa"/>
          </w:tcPr>
          <w:p w14:paraId="15AFB11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Cadmium</w:t>
            </w:r>
          </w:p>
        </w:tc>
        <w:tc>
          <w:tcPr>
            <w:tcW w:w="2678" w:type="dxa"/>
          </w:tcPr>
          <w:p w14:paraId="1029547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1.9</w:t>
            </w:r>
          </w:p>
        </w:tc>
      </w:tr>
      <w:tr w:rsidR="00326E64" w:rsidRPr="00326E64" w14:paraId="400A0927" w14:textId="77777777" w:rsidTr="00A54079">
        <w:trPr>
          <w:cantSplit/>
        </w:trPr>
        <w:tc>
          <w:tcPr>
            <w:tcW w:w="2283" w:type="dxa"/>
          </w:tcPr>
          <w:p w14:paraId="00AC716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Copper</w:t>
            </w:r>
          </w:p>
        </w:tc>
        <w:tc>
          <w:tcPr>
            <w:tcW w:w="2678" w:type="dxa"/>
          </w:tcPr>
          <w:p w14:paraId="7286FFA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75</w:t>
            </w:r>
          </w:p>
        </w:tc>
      </w:tr>
      <w:tr w:rsidR="00326E64" w:rsidRPr="00326E64" w14:paraId="15D57530" w14:textId="77777777" w:rsidTr="00A54079">
        <w:trPr>
          <w:cantSplit/>
        </w:trPr>
        <w:tc>
          <w:tcPr>
            <w:tcW w:w="2283" w:type="dxa"/>
          </w:tcPr>
          <w:p w14:paraId="5C0DE2A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Lead</w:t>
            </w:r>
          </w:p>
        </w:tc>
        <w:tc>
          <w:tcPr>
            <w:tcW w:w="2678" w:type="dxa"/>
          </w:tcPr>
          <w:p w14:paraId="1BBBFC9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15</w:t>
            </w:r>
          </w:p>
        </w:tc>
      </w:tr>
      <w:tr w:rsidR="00326E64" w:rsidRPr="00326E64" w14:paraId="5064034E" w14:textId="77777777" w:rsidTr="00A54079">
        <w:trPr>
          <w:cantSplit/>
        </w:trPr>
        <w:tc>
          <w:tcPr>
            <w:tcW w:w="2283" w:type="dxa"/>
          </w:tcPr>
          <w:p w14:paraId="38FD677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Mercury</w:t>
            </w:r>
          </w:p>
        </w:tc>
        <w:tc>
          <w:tcPr>
            <w:tcW w:w="2678" w:type="dxa"/>
          </w:tcPr>
          <w:p w14:paraId="6C77F0F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0.85</w:t>
            </w:r>
          </w:p>
        </w:tc>
      </w:tr>
      <w:tr w:rsidR="00326E64" w:rsidRPr="00326E64" w14:paraId="32C77775" w14:textId="77777777" w:rsidTr="00A54079">
        <w:trPr>
          <w:cantSplit/>
        </w:trPr>
        <w:tc>
          <w:tcPr>
            <w:tcW w:w="2283" w:type="dxa"/>
          </w:tcPr>
          <w:p w14:paraId="27DF9D9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Nickel</w:t>
            </w:r>
          </w:p>
        </w:tc>
        <w:tc>
          <w:tcPr>
            <w:tcW w:w="2678" w:type="dxa"/>
          </w:tcPr>
          <w:p w14:paraId="48AD133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21</w:t>
            </w:r>
          </w:p>
        </w:tc>
      </w:tr>
      <w:tr w:rsidR="00326E64" w:rsidRPr="00326E64" w14:paraId="682AAC27" w14:textId="77777777" w:rsidTr="00A54079">
        <w:trPr>
          <w:cantSplit/>
        </w:trPr>
        <w:tc>
          <w:tcPr>
            <w:tcW w:w="2283" w:type="dxa"/>
          </w:tcPr>
          <w:p w14:paraId="293E7FB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Selenium</w:t>
            </w:r>
          </w:p>
        </w:tc>
        <w:tc>
          <w:tcPr>
            <w:tcW w:w="2678" w:type="dxa"/>
          </w:tcPr>
          <w:p w14:paraId="5DB79DB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5.0</w:t>
            </w:r>
          </w:p>
        </w:tc>
      </w:tr>
      <w:tr w:rsidR="00326E64" w:rsidRPr="00326E64" w14:paraId="1BE7036F" w14:textId="77777777" w:rsidTr="00A54079">
        <w:trPr>
          <w:cantSplit/>
        </w:trPr>
        <w:tc>
          <w:tcPr>
            <w:tcW w:w="2283" w:type="dxa"/>
          </w:tcPr>
          <w:p w14:paraId="481B4E3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Zinc</w:t>
            </w:r>
          </w:p>
        </w:tc>
        <w:tc>
          <w:tcPr>
            <w:tcW w:w="2678" w:type="dxa"/>
          </w:tcPr>
          <w:p w14:paraId="5A94DCC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140</w:t>
            </w:r>
          </w:p>
        </w:tc>
      </w:tr>
    </w:tbl>
    <w:p w14:paraId="087B68D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br/>
      </w:r>
    </w:p>
    <w:p w14:paraId="01716D0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p>
    <w:p w14:paraId="776F669F" w14:textId="77777777" w:rsidR="00326E64" w:rsidRPr="00326E64" w:rsidRDefault="00326E64" w:rsidP="00326E64">
      <w:pPr>
        <w:spacing w:line="480" w:lineRule="auto"/>
        <w:rPr>
          <w:rFonts w:ascii="Times New Roman" w:eastAsia="Calibri" w:hAnsi="Times New Roman" w:cs="Times New Roman"/>
          <w:strike/>
        </w:rPr>
      </w:pPr>
    </w:p>
    <w:p w14:paraId="07C0E8DD" w14:textId="77777777" w:rsidR="00326E64" w:rsidRPr="00326E64" w:rsidRDefault="00326E64" w:rsidP="00326E64">
      <w:pPr>
        <w:spacing w:line="480" w:lineRule="auto"/>
        <w:rPr>
          <w:rFonts w:ascii="Times New Roman" w:eastAsia="Calibri" w:hAnsi="Times New Roman" w:cs="Times New Roman"/>
          <w:strike/>
        </w:rPr>
      </w:pPr>
    </w:p>
    <w:p w14:paraId="0EB2121F" w14:textId="77777777" w:rsidR="00326E64" w:rsidRPr="00326E64" w:rsidRDefault="00326E64" w:rsidP="00326E64">
      <w:pPr>
        <w:spacing w:line="480" w:lineRule="auto"/>
        <w:rPr>
          <w:rFonts w:ascii="Times New Roman" w:eastAsia="Calibri" w:hAnsi="Times New Roman" w:cs="Times New Roman"/>
          <w:strike/>
        </w:rPr>
      </w:pPr>
    </w:p>
    <w:p w14:paraId="606DECB4" w14:textId="77777777" w:rsidR="00326E64" w:rsidRPr="00326E64" w:rsidRDefault="00326E64" w:rsidP="00326E64">
      <w:pPr>
        <w:spacing w:line="480" w:lineRule="auto"/>
        <w:rPr>
          <w:rFonts w:ascii="Times New Roman" w:eastAsia="Calibri" w:hAnsi="Times New Roman" w:cs="Times New Roman"/>
          <w:strike/>
        </w:rPr>
      </w:pPr>
    </w:p>
    <w:p w14:paraId="741E8D21" w14:textId="77777777" w:rsidR="00326E64" w:rsidRPr="00326E64" w:rsidRDefault="00326E64" w:rsidP="00326E64">
      <w:pPr>
        <w:spacing w:line="480" w:lineRule="auto"/>
        <w:rPr>
          <w:rFonts w:ascii="Times New Roman" w:eastAsia="Calibri" w:hAnsi="Times New Roman" w:cs="Times New Roman"/>
          <w:strike/>
        </w:rPr>
      </w:pPr>
    </w:p>
    <w:p w14:paraId="53191FBA" w14:textId="77777777" w:rsidR="00326E64" w:rsidRPr="00326E64" w:rsidRDefault="00326E64" w:rsidP="00326E64">
      <w:pPr>
        <w:spacing w:line="480" w:lineRule="auto"/>
        <w:rPr>
          <w:rFonts w:ascii="Times New Roman" w:eastAsia="Calibri" w:hAnsi="Times New Roman" w:cs="Times New Roman"/>
          <w:strike/>
        </w:rPr>
      </w:pPr>
    </w:p>
    <w:p w14:paraId="05E2FC6A" w14:textId="77777777" w:rsidR="00326E64" w:rsidRPr="00326E64" w:rsidRDefault="00326E64" w:rsidP="00326E64">
      <w:pPr>
        <w:spacing w:line="480" w:lineRule="auto"/>
        <w:rPr>
          <w:rFonts w:ascii="Times New Roman" w:eastAsia="Calibri" w:hAnsi="Times New Roman" w:cs="Times New Roman"/>
          <w:strike/>
        </w:rPr>
      </w:pPr>
    </w:p>
    <w:p w14:paraId="6FFA19D0" w14:textId="77777777" w:rsidR="00326E64" w:rsidRPr="00326E64" w:rsidRDefault="00326E64" w:rsidP="00326E64">
      <w:pPr>
        <w:spacing w:line="480" w:lineRule="auto"/>
        <w:rPr>
          <w:rFonts w:ascii="Times New Roman" w:eastAsia="Calibri" w:hAnsi="Times New Roman" w:cs="Times New Roman"/>
          <w:strike/>
        </w:rPr>
      </w:pPr>
    </w:p>
    <w:p w14:paraId="68BD4050" w14:textId="77777777" w:rsidR="00326E64" w:rsidRPr="00326E64" w:rsidRDefault="00326E64" w:rsidP="00326E64">
      <w:pPr>
        <w:spacing w:line="480" w:lineRule="auto"/>
        <w:rPr>
          <w:rFonts w:ascii="Times New Roman" w:eastAsia="Calibri" w:hAnsi="Times New Roman" w:cs="Times New Roman"/>
          <w:strike/>
        </w:rPr>
      </w:pPr>
    </w:p>
    <w:p w14:paraId="3F5931BA" w14:textId="77777777" w:rsidR="00326E64" w:rsidRPr="00326E64" w:rsidRDefault="00326E64" w:rsidP="00326E64">
      <w:pPr>
        <w:spacing w:line="480" w:lineRule="auto"/>
        <w:rPr>
          <w:rFonts w:ascii="Times New Roman" w:eastAsia="Calibri" w:hAnsi="Times New Roman" w:cs="Times New Roman"/>
          <w:strike/>
        </w:rPr>
      </w:pPr>
    </w:p>
    <w:p w14:paraId="5BD57F4A" w14:textId="77777777" w:rsidR="00326E64" w:rsidRPr="00326E64" w:rsidRDefault="00326E64" w:rsidP="00326E64">
      <w:pPr>
        <w:spacing w:line="480" w:lineRule="auto"/>
        <w:rPr>
          <w:rFonts w:ascii="Times New Roman" w:eastAsia="Calibri" w:hAnsi="Times New Roman" w:cs="Times New Roman"/>
          <w:strike/>
        </w:rPr>
      </w:pPr>
    </w:p>
    <w:p w14:paraId="2881281B" w14:textId="77777777" w:rsidR="00326E64" w:rsidRPr="00326E64" w:rsidRDefault="00326E64" w:rsidP="00326E64">
      <w:pPr>
        <w:spacing w:line="480" w:lineRule="auto"/>
        <w:rPr>
          <w:rFonts w:ascii="Times New Roman" w:eastAsia="Calibri" w:hAnsi="Times New Roman" w:cs="Times New Roman"/>
          <w:strike/>
        </w:rPr>
      </w:pPr>
    </w:p>
    <w:p w14:paraId="7DEC4EB3" w14:textId="77777777" w:rsidR="00326E64" w:rsidRPr="00326E64" w:rsidRDefault="00326E64" w:rsidP="00326E64">
      <w:pPr>
        <w:spacing w:line="480" w:lineRule="auto"/>
        <w:rPr>
          <w:rFonts w:ascii="Times New Roman" w:eastAsia="Calibri" w:hAnsi="Times New Roman" w:cs="Times New Roman"/>
          <w:strike/>
        </w:rPr>
      </w:pPr>
    </w:p>
    <w:p w14:paraId="6D94206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F.</w:t>
      </w:r>
      <w:r w:rsidRPr="00326E64">
        <w:rPr>
          <w:rFonts w:ascii="Times New Roman" w:eastAsia="Calibri" w:hAnsi="Times New Roman" w:cs="Times New Roman"/>
          <w:strike/>
        </w:rPr>
        <w:tab/>
        <w:t>Other Requirements for Bulk Biosolids</w:t>
      </w:r>
    </w:p>
    <w:p w14:paraId="66AB5D7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The person who prepares bulk sewage sludge that is applied to agricultural land, forest, a public contact site, or a reclamation site shall provide the person who applies the bulk biosolids with written notification of the concentration, on a dry weight basis, of total nitrogen, ammonia (as N), nitrates, potassium, and phosphorus in the bulk biosolids.</w:t>
      </w:r>
    </w:p>
    <w:p w14:paraId="572C8C0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 xml:space="preserve">When a person who prepares bulk sewage sludge provides the bulk biosolids to a person who applies the bulk biosolids to the land, the person who prepares the bulk </w:t>
      </w:r>
      <w:r w:rsidRPr="00326E64">
        <w:rPr>
          <w:rFonts w:ascii="Times New Roman" w:eastAsia="Calibri" w:hAnsi="Times New Roman" w:cs="Times New Roman"/>
          <w:strike/>
        </w:rPr>
        <w:lastRenderedPageBreak/>
        <w:t>sewage sludge shall provide the person who applies the bulk biosolids with notice and necessary information to comply with the requirements in this Chapter.</w:t>
      </w:r>
    </w:p>
    <w:p w14:paraId="6305739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3.</w:t>
      </w:r>
      <w:r w:rsidRPr="00326E64">
        <w:rPr>
          <w:rFonts w:ascii="Times New Roman" w:eastAsia="Calibri" w:hAnsi="Times New Roman" w:cs="Times New Roman"/>
          <w:strike/>
        </w:rPr>
        <w:tab/>
        <w:t>The person who applies bulk biosolids to the land shall provide the owner or leaseholder of the land on which the bulk biosolids are applied with notice and necessary information to comply with the requirements in this Chapter.</w:t>
      </w:r>
    </w:p>
    <w:p w14:paraId="6330296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4.</w:t>
      </w:r>
      <w:r w:rsidRPr="00326E64">
        <w:rPr>
          <w:rFonts w:ascii="Times New Roman" w:eastAsia="Calibri" w:hAnsi="Times New Roman" w:cs="Times New Roman"/>
          <w:strike/>
        </w:rPr>
        <w:tab/>
        <w:t>No person shall apply bulk biosolids subject to the cumulative pollutant loading rates in Table 2 of LAC 33:IX.7303.E to the land without first contacting the administrative authority to determine if bulk biosolids subject to the cumulative pollutant loading rates in Table 2 of LAC 33:IX.7303.E have been applied to the land since July 20, 1993.</w:t>
      </w:r>
    </w:p>
    <w:p w14:paraId="49B1C53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5.</w:t>
      </w:r>
      <w:r w:rsidRPr="00326E64">
        <w:rPr>
          <w:rFonts w:ascii="Times New Roman" w:eastAsia="Calibri" w:hAnsi="Times New Roman" w:cs="Times New Roman"/>
          <w:strike/>
        </w:rPr>
        <w:tab/>
        <w:t>No person shall apply bulk biosolids subject to the cumulative pollutant loading rates in Table 2 of LAC 33:IX.7303.E to agricultural land, forest, a public contact site, or a reclamation site if any of the cumulative pollutant loading rates in Table 2 of LAC 33:IX.7303.E has been reached.</w:t>
      </w:r>
    </w:p>
    <w:p w14:paraId="43E8870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6.</w:t>
      </w:r>
      <w:r w:rsidRPr="00326E64">
        <w:rPr>
          <w:rFonts w:ascii="Times New Roman" w:eastAsia="Calibri" w:hAnsi="Times New Roman" w:cs="Times New Roman"/>
          <w:strike/>
        </w:rPr>
        <w:tab/>
        <w:t>If bulk biosolids have not been applied to a site since July 20, 1993, the cumulative amount for each pollutant listed in Table 2 of LAC 33:IX.7303.E may be applied to the site in accordance with Clause E.1.b.i of this Section.</w:t>
      </w:r>
    </w:p>
    <w:p w14:paraId="4A92126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7.</w:t>
      </w:r>
      <w:r w:rsidRPr="00326E64">
        <w:rPr>
          <w:rFonts w:ascii="Times New Roman" w:eastAsia="Calibri" w:hAnsi="Times New Roman" w:cs="Times New Roman"/>
          <w:strike/>
        </w:rPr>
        <w:tab/>
        <w:t>If bulk biosolids have been applied to the site since July 20, 1993, and the cumulative amount of each pollutant applied to the site in the bulk biosolids since that date is known, the cumulative amount of each pollutant applied to the site shall be used to determine the additional amount of each pollutant that can be applied to the site in accordance with Clause E.1.b.i of this Section.</w:t>
      </w:r>
    </w:p>
    <w:p w14:paraId="60D7FB7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8.</w:t>
      </w:r>
      <w:r w:rsidRPr="00326E64">
        <w:rPr>
          <w:rFonts w:ascii="Times New Roman" w:eastAsia="Calibri" w:hAnsi="Times New Roman" w:cs="Times New Roman"/>
          <w:strike/>
        </w:rPr>
        <w:tab/>
        <w:t xml:space="preserve">If bulk biosolids have been applied to the site since July 20, 1993, and the cumulative amount of each pollutant applied to the site in the bulk biosolids since that date is not </w:t>
      </w:r>
      <w:r w:rsidRPr="00326E64">
        <w:rPr>
          <w:rFonts w:ascii="Times New Roman" w:eastAsia="Calibri" w:hAnsi="Times New Roman" w:cs="Times New Roman"/>
          <w:strike/>
        </w:rPr>
        <w:lastRenderedPageBreak/>
        <w:t>known, an additional amount of each pollutant shall not be applied to the site in accordance with Clause E.1.b.i of this Section.</w:t>
      </w:r>
    </w:p>
    <w:p w14:paraId="58D6D11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G.</w:t>
      </w:r>
      <w:r w:rsidRPr="00326E64">
        <w:rPr>
          <w:rFonts w:ascii="Times New Roman" w:eastAsia="Calibri" w:hAnsi="Times New Roman" w:cs="Times New Roman"/>
          <w:strike/>
        </w:rPr>
        <w:tab/>
        <w:t>Other Management Practices for Bulk Biosolids</w:t>
      </w:r>
    </w:p>
    <w:p w14:paraId="4420E09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Bulk biosolids shall not be applied to the land if it is likely to adversely affect a threatened or endangered species listed under Section 4 of the Endangered Species Act or its designated critical habitat.</w:t>
      </w:r>
    </w:p>
    <w:p w14:paraId="3C54A3E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Bulk biosolids shall not be applied to agricultural land, forest, a public contact site, or a reclamation site that is flooded, frozen, or snow-covered so that the bulk biosolids enter a wetland or other waters of the state, as defined in LAC 33:IX.2313, except as provided in a permit issued in accordance with Section 402 or 404 of the CWA or LAC 33:IX.Chapters 23-71.</w:t>
      </w:r>
    </w:p>
    <w:p w14:paraId="16216EE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3.</w:t>
      </w:r>
      <w:r w:rsidRPr="00326E64">
        <w:rPr>
          <w:rFonts w:ascii="Times New Roman" w:eastAsia="Calibri" w:hAnsi="Times New Roman" w:cs="Times New Roman"/>
          <w:strike/>
        </w:rPr>
        <w:tab/>
        <w:t>Bulk biosolids shall not be applied to agricultural land, forest, or a reclamation site that is 33 feet (10 meters) or less from any waters of the state, as defined in LAC 33:IX.2313, unless otherwise specified by the permitting authority.</w:t>
      </w:r>
    </w:p>
    <w:p w14:paraId="1BA74E8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4.</w:t>
      </w:r>
      <w:r w:rsidRPr="00326E64">
        <w:rPr>
          <w:rFonts w:ascii="Times New Roman" w:eastAsia="Calibri" w:hAnsi="Times New Roman" w:cs="Times New Roman"/>
          <w:strike/>
        </w:rPr>
        <w:tab/>
        <w:t>Bulk biosolids shall not be applied to the land if it would affect a property that either is listed on, or is eligible for listing on, the National Historic Register.</w:t>
      </w:r>
    </w:p>
    <w:p w14:paraId="7C7D8CD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H.</w:t>
      </w:r>
      <w:r w:rsidRPr="00326E64">
        <w:rPr>
          <w:rFonts w:ascii="Times New Roman" w:eastAsia="Calibri" w:hAnsi="Times New Roman" w:cs="Times New Roman"/>
          <w:strike/>
        </w:rPr>
        <w:tab/>
        <w:t>Operational Standards―Pathogens and Vector Attraction Reduction</w:t>
      </w:r>
    </w:p>
    <w:p w14:paraId="77917D4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Pathogens</w:t>
      </w:r>
    </w:p>
    <w:p w14:paraId="2380173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Exceptional Quality biosolids pathogen requirements in LAC 33:IX.7309.C.1 or the Class B pathogen requirements and site restrictions in LAC 33:IX.7309.C.2 shall be met when bulk biosolids are applied to agricultural land, forest, a public contact site, or a reclamation site.</w:t>
      </w:r>
    </w:p>
    <w:p w14:paraId="040652C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Exceptional Quality biosolids pathogen requirements in LAC 33:IX.7309.C.1 shall be met when biosolids are applied to a lawn or a home garden.</w:t>
      </w:r>
    </w:p>
    <w:p w14:paraId="01A3251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The Exceptional Quality biosolids pathogen requirements in LAC 33:IX.7309.C.1 shall be met when biosolids are sold or given away in a bag or other container for application to the land.</w:t>
      </w:r>
    </w:p>
    <w:p w14:paraId="6AD2BA0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Vector Attraction Reduction</w:t>
      </w:r>
    </w:p>
    <w:p w14:paraId="31383E4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One of the vector attraction reduction requirements in LAC 33:IX.7309.D.2.a-g shall be met when bulk biosolids are applied to agricultural land, forest, a public contact site, or a reclamation site.</w:t>
      </w:r>
    </w:p>
    <w:p w14:paraId="55B9AF4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One of the vector attraction reduction requirements in LAC 33:IX.7309.D.2.a-e shall be met when biosolids are applied to a lawn or a home garden.</w:t>
      </w:r>
    </w:p>
    <w:p w14:paraId="4F85812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One of the vector attraction reduction requirements in LAC 33:IX.7309.D.2.a-e shall be met when biosolids are sold or given away in a bag or other container for application to the land.</w:t>
      </w:r>
    </w:p>
    <w:p w14:paraId="4FB8402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Frequency of Monitoring</w:t>
      </w:r>
    </w:p>
    <w:p w14:paraId="6A83197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The frequency of monitoring for the pollutants listed in Table 1, Table 2, Table 3, and Table 4 of LAC 33:IX.7303.E; the frequency of monitoring for pathogen density requirements in LAC 33:IX.7309.C.1 and 2.b; and the frequency of monitoring for vector attraction reduction requirements in LAC 33:IX.7309.D.2.a-e shall be the frequency specified in Table 1 of LAC 33:IX.7303.I.</w:t>
      </w:r>
    </w:p>
    <w:tbl>
      <w:tblPr>
        <w:tblW w:w="0" w:type="auto"/>
        <w:tblInd w:w="2227"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ook w:val="0000" w:firstRow="0" w:lastRow="0" w:firstColumn="0" w:lastColumn="0" w:noHBand="0" w:noVBand="0"/>
      </w:tblPr>
      <w:tblGrid>
        <w:gridCol w:w="2428"/>
        <w:gridCol w:w="2483"/>
      </w:tblGrid>
      <w:tr w:rsidR="00326E64" w:rsidRPr="00326E64" w14:paraId="7D8E0153" w14:textId="77777777" w:rsidTr="00A54079">
        <w:trPr>
          <w:tblHeader/>
        </w:trPr>
        <w:tc>
          <w:tcPr>
            <w:tcW w:w="4911" w:type="dxa"/>
            <w:gridSpan w:val="2"/>
            <w:tcBorders>
              <w:top w:val="double" w:sz="6" w:space="0" w:color="auto"/>
              <w:bottom w:val="single" w:sz="6" w:space="0" w:color="auto"/>
            </w:tcBorders>
            <w:shd w:val="clear" w:color="auto" w:fill="auto"/>
            <w:vAlign w:val="center"/>
          </w:tcPr>
          <w:p w14:paraId="42742A77"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lastRenderedPageBreak/>
              <w:t>Table 1 of LAC 33:IX.7303.I</w:t>
            </w:r>
          </w:p>
        </w:tc>
      </w:tr>
      <w:tr w:rsidR="00326E64" w:rsidRPr="00326E64" w14:paraId="655EE05B" w14:textId="77777777" w:rsidTr="00A54079">
        <w:trPr>
          <w:tblHeader/>
        </w:trPr>
        <w:tc>
          <w:tcPr>
            <w:tcW w:w="4911" w:type="dxa"/>
            <w:gridSpan w:val="2"/>
            <w:tcBorders>
              <w:top w:val="single" w:sz="6" w:space="0" w:color="auto"/>
              <w:bottom w:val="single" w:sz="6" w:space="0" w:color="auto"/>
            </w:tcBorders>
            <w:shd w:val="clear" w:color="auto" w:fill="auto"/>
            <w:vAlign w:val="center"/>
          </w:tcPr>
          <w:p w14:paraId="4BD5D526"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Frequency of Monitoring—Land Application</w:t>
            </w:r>
          </w:p>
        </w:tc>
      </w:tr>
      <w:tr w:rsidR="00326E64" w:rsidRPr="00326E64" w14:paraId="341FEBE4" w14:textId="77777777" w:rsidTr="00A54079">
        <w:trPr>
          <w:tblHeader/>
        </w:trPr>
        <w:tc>
          <w:tcPr>
            <w:tcW w:w="2428" w:type="dxa"/>
            <w:tcBorders>
              <w:top w:val="single" w:sz="6" w:space="0" w:color="auto"/>
              <w:bottom w:val="single" w:sz="6" w:space="0" w:color="auto"/>
            </w:tcBorders>
            <w:shd w:val="clear" w:color="auto" w:fill="auto"/>
            <w:vAlign w:val="center"/>
          </w:tcPr>
          <w:p w14:paraId="03D1DCD4"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Amount of Biosolids1</w:t>
            </w:r>
          </w:p>
          <w:p w14:paraId="2511555C"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(metric tons per 365-day period)</w:t>
            </w:r>
          </w:p>
        </w:tc>
        <w:tc>
          <w:tcPr>
            <w:tcW w:w="2483" w:type="dxa"/>
            <w:tcBorders>
              <w:top w:val="single" w:sz="6" w:space="0" w:color="auto"/>
              <w:bottom w:val="single" w:sz="6" w:space="0" w:color="auto"/>
            </w:tcBorders>
            <w:shd w:val="clear" w:color="auto" w:fill="auto"/>
            <w:vAlign w:val="center"/>
          </w:tcPr>
          <w:p w14:paraId="25046192"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Frequency</w:t>
            </w:r>
          </w:p>
        </w:tc>
      </w:tr>
      <w:tr w:rsidR="00326E64" w:rsidRPr="00326E64" w14:paraId="1F35BA8E" w14:textId="77777777" w:rsidTr="00A54079">
        <w:trPr>
          <w:cantSplit/>
          <w:tblHeader/>
        </w:trPr>
        <w:tc>
          <w:tcPr>
            <w:tcW w:w="2428" w:type="dxa"/>
            <w:tcBorders>
              <w:top w:val="single" w:sz="6" w:space="0" w:color="auto"/>
            </w:tcBorders>
          </w:tcPr>
          <w:p w14:paraId="47A9591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Greater than zero but less than 290</w:t>
            </w:r>
          </w:p>
        </w:tc>
        <w:tc>
          <w:tcPr>
            <w:tcW w:w="2483" w:type="dxa"/>
            <w:tcBorders>
              <w:top w:val="single" w:sz="6" w:space="0" w:color="auto"/>
            </w:tcBorders>
          </w:tcPr>
          <w:p w14:paraId="46CC1B0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Once per year</w:t>
            </w:r>
          </w:p>
        </w:tc>
      </w:tr>
      <w:tr w:rsidR="00326E64" w:rsidRPr="00326E64" w14:paraId="6345F4A7" w14:textId="77777777" w:rsidTr="00A54079">
        <w:trPr>
          <w:cantSplit/>
          <w:tblHeader/>
        </w:trPr>
        <w:tc>
          <w:tcPr>
            <w:tcW w:w="2428" w:type="dxa"/>
          </w:tcPr>
          <w:p w14:paraId="6B42995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Equal to or greater than 290 but less than 1,500</w:t>
            </w:r>
          </w:p>
        </w:tc>
        <w:tc>
          <w:tcPr>
            <w:tcW w:w="2483" w:type="dxa"/>
          </w:tcPr>
          <w:p w14:paraId="7501DB4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Once per quarter </w:t>
            </w:r>
            <w:r w:rsidRPr="00326E64">
              <w:rPr>
                <w:rFonts w:ascii="Times New Roman" w:eastAsia="Calibri" w:hAnsi="Times New Roman" w:cs="Times New Roman"/>
                <w:strike/>
              </w:rPr>
              <w:br/>
              <w:t>(four times per year)</w:t>
            </w:r>
          </w:p>
        </w:tc>
      </w:tr>
      <w:tr w:rsidR="00326E64" w:rsidRPr="00326E64" w14:paraId="50D233C5" w14:textId="77777777" w:rsidTr="00A54079">
        <w:trPr>
          <w:cantSplit/>
          <w:tblHeader/>
        </w:trPr>
        <w:tc>
          <w:tcPr>
            <w:tcW w:w="2428" w:type="dxa"/>
          </w:tcPr>
          <w:p w14:paraId="0DC79DF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Equal to or greater than 1,500 but less than 15,000</w:t>
            </w:r>
          </w:p>
        </w:tc>
        <w:tc>
          <w:tcPr>
            <w:tcW w:w="2483" w:type="dxa"/>
          </w:tcPr>
          <w:p w14:paraId="3E0494E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Once per 60 days </w:t>
            </w:r>
            <w:r w:rsidRPr="00326E64">
              <w:rPr>
                <w:rFonts w:ascii="Times New Roman" w:eastAsia="Calibri" w:hAnsi="Times New Roman" w:cs="Times New Roman"/>
                <w:strike/>
              </w:rPr>
              <w:br/>
              <w:t>(six times per year)</w:t>
            </w:r>
          </w:p>
        </w:tc>
      </w:tr>
      <w:tr w:rsidR="00326E64" w:rsidRPr="00326E64" w14:paraId="5E8DF58B" w14:textId="77777777" w:rsidTr="00A54079">
        <w:trPr>
          <w:cantSplit/>
          <w:tblHeader/>
        </w:trPr>
        <w:tc>
          <w:tcPr>
            <w:tcW w:w="2428" w:type="dxa"/>
          </w:tcPr>
          <w:p w14:paraId="2B18E71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Equal to or greater than 15,000</w:t>
            </w:r>
          </w:p>
        </w:tc>
        <w:tc>
          <w:tcPr>
            <w:tcW w:w="2483" w:type="dxa"/>
          </w:tcPr>
          <w:p w14:paraId="7565D44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Once per month </w:t>
            </w:r>
            <w:r w:rsidRPr="00326E64">
              <w:rPr>
                <w:rFonts w:ascii="Times New Roman" w:eastAsia="Calibri" w:hAnsi="Times New Roman" w:cs="Times New Roman"/>
                <w:strike/>
              </w:rPr>
              <w:br/>
              <w:t>(12 times per year)</w:t>
            </w:r>
          </w:p>
        </w:tc>
      </w:tr>
      <w:tr w:rsidR="00326E64" w:rsidRPr="00326E64" w14:paraId="510993AA" w14:textId="77777777" w:rsidTr="00A54079">
        <w:trPr>
          <w:cantSplit/>
          <w:tblHeader/>
        </w:trPr>
        <w:tc>
          <w:tcPr>
            <w:tcW w:w="4911" w:type="dxa"/>
            <w:gridSpan w:val="2"/>
            <w:tcMar>
              <w:left w:w="86" w:type="dxa"/>
              <w:right w:w="86" w:type="dxa"/>
            </w:tcMar>
          </w:tcPr>
          <w:p w14:paraId="0711CD9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1Either the amount of bulk biosolids applied to the land (on a dry weight basis) or the amount of biosolids that are bagged and sold or given away for application to the land (on a dry weight basis).</w:t>
            </w:r>
          </w:p>
        </w:tc>
      </w:tr>
    </w:tbl>
    <w:p w14:paraId="7772D139" w14:textId="77777777" w:rsidR="00326E64" w:rsidRPr="00326E64" w:rsidRDefault="00326E64" w:rsidP="00326E64">
      <w:pPr>
        <w:spacing w:line="480" w:lineRule="auto"/>
        <w:rPr>
          <w:rFonts w:ascii="Times New Roman" w:eastAsia="Calibri" w:hAnsi="Times New Roman" w:cs="Times New Roman"/>
          <w:strike/>
        </w:rPr>
      </w:pPr>
    </w:p>
    <w:p w14:paraId="0AD16A3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 xml:space="preserve">After the biosolids have been monitored for two years at the frequency in Table 1 of LAC 33:IX.7303.I, the permitting authority may reduce the frequency of monitoring </w:t>
      </w:r>
      <w:r w:rsidRPr="00326E64">
        <w:rPr>
          <w:rFonts w:ascii="Times New Roman" w:eastAsia="Calibri" w:hAnsi="Times New Roman" w:cs="Times New Roman"/>
          <w:strike/>
        </w:rPr>
        <w:lastRenderedPageBreak/>
        <w:t>for pollutant concentrations and for the pathogen density requirements in LAC 33:IX.7309.C.1.e.ii and iii.</w:t>
      </w:r>
    </w:p>
    <w:p w14:paraId="1EE3EEF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J.</w:t>
      </w:r>
      <w:r w:rsidRPr="00326E64">
        <w:rPr>
          <w:rFonts w:ascii="Times New Roman" w:eastAsia="Calibri" w:hAnsi="Times New Roman" w:cs="Times New Roman"/>
          <w:strike/>
        </w:rPr>
        <w:tab/>
        <w:t>Recordkeeping</w:t>
      </w:r>
    </w:p>
    <w:p w14:paraId="295405D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All Class I sludge management facilities, as defined in LAC 33:IX.7301.B, that prepare sewage sludge shall keep a record of the following for a period of five years:</w:t>
      </w:r>
    </w:p>
    <w:p w14:paraId="1770460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annual production of sewage sludge (i.e., dry tons or dry metric tons);</w:t>
      </w:r>
    </w:p>
    <w:p w14:paraId="493BFE6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 xml:space="preserve">the sewage sludge management practice used; </w:t>
      </w:r>
    </w:p>
    <w:p w14:paraId="1D9B3FD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sampling results for hazardous characteristics; and</w:t>
      </w:r>
    </w:p>
    <w:p w14:paraId="67ECB1B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sampling results for PCBs.</w:t>
      </w:r>
    </w:p>
    <w:p w14:paraId="7E6B4D9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Additional Recordkeeping</w:t>
      </w:r>
    </w:p>
    <w:p w14:paraId="758C80F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recordkeeping requirements for the person who prepares the sewage sludge or biosolids that are land applied and meet the criteria in Paragraphs A.2 and 4 of this Section are those indicated in Paragraph L.9 of this Section.</w:t>
      </w:r>
    </w:p>
    <w:p w14:paraId="2A3C0E7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For bulk biosolids that are applied to agricultural land, forest, a public contact site, or a reclamation site and that meet the pollutant concentrations in Table 3 of LAC 33:IX.7303.E, the Exceptional Quality biosolids pathogen requirements in LAC 33:IX.7309.C.1, and the vector attraction reduction requirements in either LAC 33:IX.7309.D.2.f or g:</w:t>
      </w:r>
    </w:p>
    <w:p w14:paraId="5D03045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person who prepares the bulk biosolids shall develop the following information and shall retain the information for five years:</w:t>
      </w:r>
    </w:p>
    <w:p w14:paraId="57CAE1D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concentration of each pollutant listed in Table 3 of LAC 33:IX.7303.E;</w:t>
      </w:r>
    </w:p>
    <w:p w14:paraId="1D46B33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a description of how the Exceptional Quality biosolids pathogen requirements in LAC 33:IX.7309.C.1 are met; and</w:t>
      </w:r>
    </w:p>
    <w:p w14:paraId="3C565B7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the following certification statement:</w:t>
      </w:r>
    </w:p>
    <w:p w14:paraId="57FEA75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"I certify, under penalty of law, that the information that will be used to determine compliance with the Exceptional Quality biosolids pathogen requirements in LAC 33:IX.7309.C.1 was prepared under my direction and supervision in accordance with the system as described in the permit application, designed to ensure that qualified personnel properly gather and evaluate this information. I am aware that there are significant penalties for false certification including the possibility of fine and imprisonment."; and</w:t>
      </w:r>
    </w:p>
    <w:p w14:paraId="5F666B4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the person who applies the bulk biosolids to the land shall develop the following information and shall retain the information for five years:</w:t>
      </w:r>
    </w:p>
    <w:p w14:paraId="772F59B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a description of how the general management practices in Paragraphs D.1-4 of this Section and the other management practices for bulk biosolids in Subsection G of this Section are met for each site on which bulk biosolids are applied;</w:t>
      </w:r>
    </w:p>
    <w:p w14:paraId="6E928FA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a description of how the vector attraction reduction requirements in either LAC 33:IX.7309.D.2.f or g are met for each site on which bulk biosolids are applied; and</w:t>
      </w:r>
    </w:p>
    <w:p w14:paraId="079E24B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the following certification statement:</w:t>
      </w:r>
    </w:p>
    <w:p w14:paraId="58F3E7C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"I certify, under penalty of law, that the information that will be used to determine compliance with the general management practices in LAC 33:IX.7303.D.1-4, the other management </w:t>
      </w:r>
      <w:r w:rsidRPr="00326E64">
        <w:rPr>
          <w:rFonts w:ascii="Times New Roman" w:eastAsia="Calibri" w:hAnsi="Times New Roman" w:cs="Times New Roman"/>
          <w:strike/>
        </w:rPr>
        <w:lastRenderedPageBreak/>
        <w:t>practices for bulk biosolids in LAC 33:IX.7303.G, and the vector attraction reduction requirement in [insert either LAC 33:IX.7309.D.2.f or g] was prepared under my direction and supervision in accordance with the system as described in the permit application, designed to ensure that qualified personnel properly gather and evaluate this information. I am aware that there are significant penalties for false certification including the possibility of fine and imprisonment."</w:t>
      </w:r>
    </w:p>
    <w:p w14:paraId="200FD94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For bulk biosolids that are applied to agricultural land, forest, a public contact site, or a reclamation site and that meet the pollutant concentrations in Table 3 of LAC 33:IX.7303.E, the Class B pathogen requirements in LAC 33:IX.7309.C.2, and the vector attraction reduction requirements in LAC 33:IX.7309.D.2.a-g:</w:t>
      </w:r>
    </w:p>
    <w:p w14:paraId="1B0FF2D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person who prepares the bulk biosolids shall develop the following information and shall retain the information for five years:</w:t>
      </w:r>
    </w:p>
    <w:p w14:paraId="4DE38E0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concentration of each pollutant listed in Table 3 of LAC 33:IX.7303.E;</w:t>
      </w:r>
    </w:p>
    <w:p w14:paraId="2DCC624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a description of how the Class B pathogen requirements in LAC 33:IX.7309.C.2 are met;</w:t>
      </w:r>
    </w:p>
    <w:p w14:paraId="14E43A4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a description of how one of the vector attraction reduction requirements in LAC 33:IX.7309.D.2.a-g is met; and</w:t>
      </w:r>
    </w:p>
    <w:p w14:paraId="129C9DD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the following certification statement:</w:t>
      </w:r>
    </w:p>
    <w:p w14:paraId="1D6132F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"I certify, under penalty of law, that the information that will be used to determine compliance with the Class B pathogen requirements in LAC 33:IX.7309.C.2 and the vector attraction reduction requirement in [insert one of the vector attraction reduction requirements in LAC 33:IX.7309.D.2.a-g] was prepared under my direction and supervision in accordance with the </w:t>
      </w:r>
      <w:r w:rsidRPr="00326E64">
        <w:rPr>
          <w:rFonts w:ascii="Times New Roman" w:eastAsia="Calibri" w:hAnsi="Times New Roman" w:cs="Times New Roman"/>
          <w:strike/>
        </w:rPr>
        <w:lastRenderedPageBreak/>
        <w:t>system as described in the permit application, designed to ensure that qualified personnel properly gather and evaluate this information. I am aware that there are significant penalties for false certification including the possibility of fine and imprisonment."; and</w:t>
      </w:r>
    </w:p>
    <w:p w14:paraId="34EC844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the person who applies the bulk biosolids to the land shall develop the following information and shall retain the information for five years:</w:t>
      </w:r>
    </w:p>
    <w:p w14:paraId="709C204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a description of how the general management practices in Paragraphs D.1-4 of this Section and the other management practices for bulk biosolids in Subsection G of this Section are met for each land site on which bulk biosolids are applied;</w:t>
      </w:r>
    </w:p>
    <w:p w14:paraId="308F981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a description of how the site restrictions in LAC 33:IX.7309.C.2.e are met for each land site on which bulk biosolids are applied;</w:t>
      </w:r>
    </w:p>
    <w:p w14:paraId="0FC98E4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when the vector attraction reduction requirement in either LAC 33:IX.7309.D.2.f or g is met, a description of how the requirement is met;</w:t>
      </w:r>
    </w:p>
    <w:p w14:paraId="42642C4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the date bulk biosolids are applied to each site; and</w:t>
      </w:r>
    </w:p>
    <w:p w14:paraId="1803B4F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the following certification statement:</w:t>
      </w:r>
    </w:p>
    <w:p w14:paraId="6142A71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"I certify, under penalty of law, that the information that will be used to determine compliance with the general management practices in LAC 33:IX.7303.D.1-4, the other management practices for bulk biosolids in LAC 33:IX.7303.G, the site restrictions in LAC 33:IX.7309.C.2.e, and the vector attraction reduction requirement in [insert either LAC 33:IX.7309.D.2.f or g] was prepared for each site on which bulk biosolids are applied under my direction and supervision in accordance with the system as described in the permit application, designed to ensure that qualified personnel properly gather and evaluate this information. I am aware that there are significant penalties for false certification including the possibility of fine and imprisonment."</w:t>
      </w:r>
    </w:p>
    <w:p w14:paraId="5511407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For bulk biosolids applied to the land that is agricultural land, forest, a public contact site, or a reclamation site whose cumulative loading rate for each pollutant does not exceed the cumulative pollutant loading rate for each pollutant in Table 2 of LAC 33:IX.7303.E and that meet the Exceptional Quality biosolids or Class B pathogen requirements in LAC 33:IX.7309.C, and the vector attraction reduction requirements in LAC 33:IX.7309.D.2.a-g:</w:t>
      </w:r>
    </w:p>
    <w:p w14:paraId="11E34C5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person who prepares the bulk biosolids shall develop the following information and shall retain the information for five years:</w:t>
      </w:r>
    </w:p>
    <w:p w14:paraId="57F5163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concentration of each pollutant listed in Table 1 of LAC 33:IX.7303.E in the bulk biosolids;</w:t>
      </w:r>
    </w:p>
    <w:p w14:paraId="706185E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a description of how the Exceptional Quality biosolids or Class B pathogen requirements in LAC 33:IX.7309.C are met;</w:t>
      </w:r>
    </w:p>
    <w:p w14:paraId="685A036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a description of how one of the vector attraction reduction requirements in LAC 33:IX.7309.D.2.a-g is met; and</w:t>
      </w:r>
    </w:p>
    <w:p w14:paraId="604120D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the following certification statement:</w:t>
      </w:r>
    </w:p>
    <w:p w14:paraId="3D96C30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"I certify, under penalty of law, that the information that will be used to determine compliance with the pathogen requirements in [insert either LAC 33:IX.7309.C.1 or 2] and the vector attraction reduction requirement in [insert one of the vector attraction reduction requirements in LAC 33:IX.7309.D.2.a-g] was prepared under my direction and supervision in accordance with the system as described in the permit application, designed to ensure that qualified personnel properly gather and evaluate this information. I am aware that there are significant penalties for false certification including the possibility of fine and imprisonment."; and</w:t>
      </w:r>
    </w:p>
    <w:p w14:paraId="5BC5EB3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the person who applies the bulk biosolids to the land shall develop the following information, retain the information in Subclauses J.2.d.ii.(a)-(g) of this Section indefinitely, and retain the information in Subclauses J.2.d.ii.(h)-(m) of this Section for five years:</w:t>
      </w:r>
    </w:p>
    <w:p w14:paraId="52DCA15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location, by either street address or latitude and longitude, of each land site on which bulk biosolids are applied;</w:t>
      </w:r>
    </w:p>
    <w:p w14:paraId="7526B86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number of hectares or acres in each site on which bulk biosolids are applied;</w:t>
      </w:r>
    </w:p>
    <w:p w14:paraId="697D6F4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the date bulk biosolids are applied to each land site;</w:t>
      </w:r>
    </w:p>
    <w:p w14:paraId="0C220C0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the cumulative amount of each pollutant (i.e., kilograms) listed in Table 2 of LAC 33:IX.7303.E in the bulk biosolids applied to each land site, including the amount in Paragraph F.7 of this Section;</w:t>
      </w:r>
    </w:p>
    <w:p w14:paraId="1133FBE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the amount of biosolids (i.e., tons or metric tons) applied to each land site;</w:t>
      </w:r>
    </w:p>
    <w:p w14:paraId="125294F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(f).</w:t>
      </w:r>
      <w:r w:rsidRPr="00326E64">
        <w:rPr>
          <w:rFonts w:ascii="Times New Roman" w:eastAsia="Calibri" w:hAnsi="Times New Roman" w:cs="Times New Roman"/>
          <w:strike/>
        </w:rPr>
        <w:tab/>
        <w:t xml:space="preserve">a description of how the information was obtained in order to comply with Subsection F of this Section; </w:t>
      </w:r>
    </w:p>
    <w:p w14:paraId="0529CAB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(g).</w:t>
      </w:r>
      <w:r w:rsidRPr="00326E64">
        <w:rPr>
          <w:rFonts w:ascii="Times New Roman" w:eastAsia="Calibri" w:hAnsi="Times New Roman" w:cs="Times New Roman"/>
          <w:strike/>
        </w:rPr>
        <w:tab/>
        <w:t>the following certification statement:</w:t>
      </w:r>
    </w:p>
    <w:p w14:paraId="2F5248B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"I certify, under penalty of law, that the information that will be used to determine compliance with the requirements in LAC 33:IX.7303.F was prepared for each land site on which bulk biosolids were applied under my direction and supervision in accordance with the system as described in the permit application, designed to ensure that qualified personnel properly gather and evaluate this information. I am aware that there are significant penalties for false certification including the possibility of fine and imprisonment.";</w:t>
      </w:r>
    </w:p>
    <w:p w14:paraId="02BC487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(h).</w:t>
      </w:r>
      <w:r w:rsidRPr="00326E64">
        <w:rPr>
          <w:rFonts w:ascii="Times New Roman" w:eastAsia="Calibri" w:hAnsi="Times New Roman" w:cs="Times New Roman"/>
          <w:strike/>
        </w:rPr>
        <w:tab/>
        <w:t>a description of how the general management practices in Paragraphs D.1-4 of this Section and the other management practices for bulk biosolids in Subsection G of this Section are met for each land site on which bulk biosolids are applied;</w:t>
      </w:r>
    </w:p>
    <w:p w14:paraId="0C3572C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following certification statement:</w:t>
      </w:r>
    </w:p>
    <w:p w14:paraId="7980D27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"I certify, under penalty of law, that the information that will be used to determine compliance with the general management practices in LAC 33:IX.7303.D.1-4 and the other management practices for bulk biosolids in LAC 33:IX.7303.G was prepared for each land site on which bulk biosolids were applied under my direction and supervision in accordance with the system as described in the permit application, designed to ensure that qualified personnel properly gather and evaluate this information. I am aware that there are significant penalties for false certification including the possibility of fine and imprisonment.";</w:t>
      </w:r>
    </w:p>
    <w:p w14:paraId="5E1753C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(j).</w:t>
      </w:r>
      <w:r w:rsidRPr="00326E64">
        <w:rPr>
          <w:rFonts w:ascii="Times New Roman" w:eastAsia="Calibri" w:hAnsi="Times New Roman" w:cs="Times New Roman"/>
          <w:strike/>
        </w:rPr>
        <w:tab/>
        <w:t>a description of how the site restrictions in LAC 33:IX.7309.C.2.e are met for each land site on which Class B bulk biosolids are applied;</w:t>
      </w:r>
    </w:p>
    <w:p w14:paraId="3FF6A0B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(k).</w:t>
      </w:r>
      <w:r w:rsidRPr="00326E64">
        <w:rPr>
          <w:rFonts w:ascii="Times New Roman" w:eastAsia="Calibri" w:hAnsi="Times New Roman" w:cs="Times New Roman"/>
          <w:strike/>
        </w:rPr>
        <w:tab/>
        <w:t>the following certification statement when the bulk biosolids meet the Class B pathogen requirements in LAC 33:IX.7309.C.2:</w:t>
      </w:r>
    </w:p>
    <w:p w14:paraId="73812E2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"I certify, under penalty of law, that the information that will be used to determine compliance with the site restrictions in LAC 33:IX.7309.C.2.e for each land site on which Class B biosolids were applied was prepared under my direction and supervision in accordance with the system as described in the permit application, designed to ensure that qualified personnel properly gather and evaluate this information. I am aware that there are significant penalties for false certification including the possibility of fine and imprisonment.";</w:t>
      </w:r>
    </w:p>
    <w:p w14:paraId="3DD4708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(l).</w:t>
      </w:r>
      <w:r w:rsidRPr="00326E64">
        <w:rPr>
          <w:rFonts w:ascii="Times New Roman" w:eastAsia="Calibri" w:hAnsi="Times New Roman" w:cs="Times New Roman"/>
          <w:strike/>
        </w:rPr>
        <w:tab/>
        <w:t>if the vector attraction reduction requirements in either LAC 33:IX.7309.D.2.f or g are met, a description of how the requirements are met; and</w:t>
      </w:r>
    </w:p>
    <w:p w14:paraId="19EE97B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(m).</w:t>
      </w:r>
      <w:r w:rsidRPr="00326E64">
        <w:rPr>
          <w:rFonts w:ascii="Times New Roman" w:eastAsia="Calibri" w:hAnsi="Times New Roman" w:cs="Times New Roman"/>
          <w:strike/>
        </w:rPr>
        <w:tab/>
        <w:t>the following certification statement when the vector attraction reduction requirement in either LAC 33:IX.7309.D.2.f or g is met:</w:t>
      </w:r>
    </w:p>
    <w:p w14:paraId="713FB7D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"I certify, under penalty of law, that the information that will be used to determine compliance with the vector attraction reduction requirement in [insert either LAC 33:IX.7309.D.2.f or g] was prepared under my direction and supervision in accordance with the system as described in the permit application, designed to ensure that qualified personnel properly gather and evaluate this information. I am aware that there are significant penalties for false certification including the possibility of fine and imprisonment."</w:t>
      </w:r>
    </w:p>
    <w:p w14:paraId="347CF4A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For biosolids sold or given away in a bag or other container for application to the land meeting the requirement at Clause E.1.d.ii of this Section, the Exceptional Quality biosolids pathogen requirements at LAC 33:IX.7309.C.1, and the vector attraction reduction requirements in LAC 33:IX.7309.D.2.a-e:</w:t>
      </w:r>
    </w:p>
    <w:p w14:paraId="38C23EA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person who prepares the biosolids that are sold or given away in a bag or other container shall develop the following information and shall retain the information for five years:</w:t>
      </w:r>
    </w:p>
    <w:p w14:paraId="0EEB396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annual whole biosolids application rate for the biosolids that does not cause the annual pollutant loading rates in Table 4 of LAC 33:IX.7303.E to be exceeded;</w:t>
      </w:r>
    </w:p>
    <w:p w14:paraId="71070ED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concentration of each pollutant listed in Table 4 of LAC 33:IX.7303.E in the biosolids;</w:t>
      </w:r>
    </w:p>
    <w:p w14:paraId="36D1652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a description of how the Exceptional Quality biosolids pathogen requirements in LAC 33:IX.7309.C.1 are met;</w:t>
      </w:r>
    </w:p>
    <w:p w14:paraId="1A22B6E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a description of how one of the vector attraction reduction requirements in LAC 33:IX.7309.D.2.a-e is met;</w:t>
      </w:r>
    </w:p>
    <w:p w14:paraId="40D0848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a description of how the general management practice in Subparagraph D.5.b of this Section was met; and</w:t>
      </w:r>
    </w:p>
    <w:p w14:paraId="1A7A08F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(f).</w:t>
      </w:r>
      <w:r w:rsidRPr="00326E64">
        <w:rPr>
          <w:rFonts w:ascii="Times New Roman" w:eastAsia="Calibri" w:hAnsi="Times New Roman" w:cs="Times New Roman"/>
          <w:strike/>
        </w:rPr>
        <w:tab/>
        <w:t>the following certification statement:</w:t>
      </w:r>
    </w:p>
    <w:p w14:paraId="56B79DB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"I certify, under penalty of law, that the information that will be used to determine compliance with the general management practice in LAC 33:IX.7303.D.5.b, the Exceptional Quality biosolids pathogen requirements in LAC 33:IX.7309.C.1, and the vector attraction reduction requirement in [insert one of the vector attraction reduction requirements in LAC 33:IX.7309.D.2.a-e] was prepared under my direction and supervision in accordance with the system as described in the permit application, designed to ensure that qualified personnel properly gather and evaluate this information. I am aware that there are significant penalties for false certification including the possibility of fine and imprisonment."; and</w:t>
      </w:r>
    </w:p>
    <w:p w14:paraId="5D2B2E9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the person who applies the biosolids that are given away or sold in a bag or other container to the land that is agricultural land, forest, a public contact site, or a reclamation area shall develop the following information and shall retain the information for five years:</w:t>
      </w:r>
    </w:p>
    <w:p w14:paraId="5CA7CD1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a description of how the general management practices in Paragraphs D.1-4 and Subparagraph D.5.a of this Section are met for each site on which the biosolids given away or sold in a bag or other container are applied; and</w:t>
      </w:r>
    </w:p>
    <w:p w14:paraId="2C73006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following certification statement:</w:t>
      </w:r>
    </w:p>
    <w:p w14:paraId="52E4747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lastRenderedPageBreak/>
        <w:t>"I certify, under penalty of law, that the information that will be used to determine compliance with the general management practices in LAC 33:IX.7303.D.1-4 and D.5.a was prepared for each site on which biosolids given away or sold in a bag or other container are applied under my direction and supervision in accordance with the system as described in the permit application, designed to ensure that qualified personnel properly gather and evaluate this information. I am aware that there are significant penalties for false certification including fine and imprisonment."</w:t>
      </w:r>
    </w:p>
    <w:p w14:paraId="2154164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K.</w:t>
      </w:r>
      <w:r w:rsidRPr="00326E64">
        <w:rPr>
          <w:rFonts w:ascii="Times New Roman" w:eastAsia="Calibri" w:hAnsi="Times New Roman" w:cs="Times New Roman"/>
          <w:strike/>
        </w:rPr>
        <w:tab/>
        <w:t>Reporting</w:t>
      </w:r>
    </w:p>
    <w:p w14:paraId="31E6711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All Class I sludge management facilities, as defined in LAC 33:IX.7301.B, that prepare sewage sludge shall submit the information in Paragraph J.1 of this Section to the administrative authority on or before February 19 of each year.</w:t>
      </w:r>
    </w:p>
    <w:p w14:paraId="708E338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Additional Reporting Requirements</w:t>
      </w:r>
    </w:p>
    <w:p w14:paraId="1A5BEBF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Reporting requirements for a person who prepares Exceptional Quality biosolids, as defined in LAC 33:IX.7301.B, from sewage sludge, having a permit to do so, are as indicated in Paragraph L.10of this Section.</w:t>
      </w:r>
    </w:p>
    <w:p w14:paraId="5378D48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All other Class I sludge management facilities, as defined in LAC 33:IX.7301.B, that apply bulk biosolids to the land and are required to obtain a permit under LAC 33:IX.7301.D, shall submit the information in Paragraph J.2 of this Section, for the appropriate requirements, to the administrative authority as follows.</w:t>
      </w:r>
    </w:p>
    <w:p w14:paraId="5D7DF87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For facilities having a frequency of monitoring in Table 1 of LAC 33:IX.7303.I of once per year, the reporting period and the report due date shall be as specified in Table 1 of LAC 33:IX.7303.K.</w:t>
      </w:r>
    </w:p>
    <w:tbl>
      <w:tblPr>
        <w:tblW w:w="0" w:type="auto"/>
        <w:tblInd w:w="357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930"/>
        <w:gridCol w:w="1885"/>
      </w:tblGrid>
      <w:tr w:rsidR="00326E64" w:rsidRPr="00326E64" w14:paraId="4BB9D5A9" w14:textId="77777777" w:rsidTr="00A54079">
        <w:trPr>
          <w:cantSplit/>
          <w:tblHeader/>
        </w:trPr>
        <w:tc>
          <w:tcPr>
            <w:tcW w:w="4815" w:type="dxa"/>
            <w:gridSpan w:val="2"/>
            <w:tcBorders>
              <w:top w:val="double" w:sz="6" w:space="0" w:color="auto"/>
              <w:bottom w:val="single" w:sz="6" w:space="0" w:color="auto"/>
            </w:tcBorders>
            <w:shd w:val="clear" w:color="auto" w:fill="auto"/>
            <w:vAlign w:val="center"/>
          </w:tcPr>
          <w:p w14:paraId="44B0BFC6"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lastRenderedPageBreak/>
              <w:t>Table 1 of LAC 33:IX.7303.K</w:t>
            </w:r>
          </w:p>
        </w:tc>
      </w:tr>
      <w:tr w:rsidR="00326E64" w:rsidRPr="00326E64" w14:paraId="377D466E" w14:textId="77777777" w:rsidTr="00A54079">
        <w:trPr>
          <w:cantSplit/>
          <w:tblHeader/>
        </w:trPr>
        <w:tc>
          <w:tcPr>
            <w:tcW w:w="4815" w:type="dxa"/>
            <w:gridSpan w:val="2"/>
            <w:tcBorders>
              <w:top w:val="single" w:sz="6" w:space="0" w:color="auto"/>
              <w:bottom w:val="single" w:sz="6" w:space="0" w:color="auto"/>
            </w:tcBorders>
            <w:shd w:val="clear" w:color="auto" w:fill="auto"/>
            <w:vAlign w:val="center"/>
          </w:tcPr>
          <w:p w14:paraId="3346A038"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Reporting—Land Application</w:t>
            </w:r>
          </w:p>
        </w:tc>
      </w:tr>
      <w:tr w:rsidR="00326E64" w:rsidRPr="00326E64" w14:paraId="6EC86C18" w14:textId="77777777" w:rsidTr="00A54079">
        <w:trPr>
          <w:cantSplit/>
          <w:tblHeader/>
        </w:trPr>
        <w:tc>
          <w:tcPr>
            <w:tcW w:w="2930" w:type="dxa"/>
            <w:tcBorders>
              <w:top w:val="single" w:sz="6" w:space="0" w:color="auto"/>
              <w:bottom w:val="single" w:sz="6" w:space="0" w:color="auto"/>
            </w:tcBorders>
            <w:shd w:val="clear" w:color="auto" w:fill="auto"/>
            <w:vAlign w:val="center"/>
          </w:tcPr>
          <w:p w14:paraId="5C03CBBE"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Monitoring Period</w:t>
            </w:r>
          </w:p>
          <w:p w14:paraId="18AC1370"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(Once per Year)</w:t>
            </w:r>
          </w:p>
        </w:tc>
        <w:tc>
          <w:tcPr>
            <w:tcW w:w="1885" w:type="dxa"/>
            <w:tcBorders>
              <w:top w:val="single" w:sz="6" w:space="0" w:color="auto"/>
              <w:bottom w:val="single" w:sz="6" w:space="0" w:color="auto"/>
            </w:tcBorders>
            <w:shd w:val="clear" w:color="auto" w:fill="auto"/>
            <w:vAlign w:val="center"/>
          </w:tcPr>
          <w:p w14:paraId="1C727A3E"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Report Due Date</w:t>
            </w:r>
          </w:p>
        </w:tc>
      </w:tr>
      <w:tr w:rsidR="00326E64" w:rsidRPr="00326E64" w14:paraId="43632782" w14:textId="77777777" w:rsidTr="00A54079">
        <w:trPr>
          <w:cantSplit/>
          <w:tblHeader/>
        </w:trPr>
        <w:tc>
          <w:tcPr>
            <w:tcW w:w="2930" w:type="dxa"/>
            <w:tcBorders>
              <w:top w:val="single" w:sz="6" w:space="0" w:color="auto"/>
            </w:tcBorders>
          </w:tcPr>
          <w:p w14:paraId="19E7D12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January - December</w:t>
            </w:r>
          </w:p>
        </w:tc>
        <w:tc>
          <w:tcPr>
            <w:tcW w:w="1885" w:type="dxa"/>
            <w:tcBorders>
              <w:top w:val="single" w:sz="6" w:space="0" w:color="auto"/>
            </w:tcBorders>
          </w:tcPr>
          <w:p w14:paraId="6D5079F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February 19</w:t>
            </w:r>
          </w:p>
        </w:tc>
      </w:tr>
    </w:tbl>
    <w:p w14:paraId="4DEF83F6" w14:textId="77777777" w:rsidR="00326E64" w:rsidRPr="00326E64" w:rsidRDefault="00326E64" w:rsidP="00326E64">
      <w:pPr>
        <w:spacing w:line="480" w:lineRule="auto"/>
        <w:rPr>
          <w:rFonts w:ascii="Times New Roman" w:eastAsia="Calibri" w:hAnsi="Times New Roman" w:cs="Times New Roman"/>
          <w:strike/>
        </w:rPr>
      </w:pPr>
    </w:p>
    <w:p w14:paraId="78A6571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For facilities having a frequency of monitoring in Table 1 of LAC 33:IX.7303.I of once per quarter (four times per year), the reporting period and the report due date shall be as specified in Table 2 of LAC 33:IX.7303.K.</w:t>
      </w:r>
    </w:p>
    <w:tbl>
      <w:tblPr>
        <w:tblW w:w="0" w:type="auto"/>
        <w:tblInd w:w="3667"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ook w:val="0000" w:firstRow="0" w:lastRow="0" w:firstColumn="0" w:lastColumn="0" w:noHBand="0" w:noVBand="0"/>
      </w:tblPr>
      <w:tblGrid>
        <w:gridCol w:w="2931"/>
        <w:gridCol w:w="1886"/>
      </w:tblGrid>
      <w:tr w:rsidR="00326E64" w:rsidRPr="00326E64" w14:paraId="7D6B4E8C" w14:textId="77777777" w:rsidTr="00A54079">
        <w:trPr>
          <w:cantSplit/>
          <w:tblHeader/>
        </w:trPr>
        <w:tc>
          <w:tcPr>
            <w:tcW w:w="4817" w:type="dxa"/>
            <w:gridSpan w:val="2"/>
            <w:tcBorders>
              <w:top w:val="double" w:sz="6" w:space="0" w:color="auto"/>
              <w:bottom w:val="single" w:sz="6" w:space="0" w:color="auto"/>
            </w:tcBorders>
            <w:shd w:val="clear" w:color="auto" w:fill="auto"/>
            <w:vAlign w:val="center"/>
          </w:tcPr>
          <w:p w14:paraId="2069298A"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Table 2 of LAC 33:IX.7303.K</w:t>
            </w:r>
          </w:p>
        </w:tc>
      </w:tr>
      <w:tr w:rsidR="00326E64" w:rsidRPr="00326E64" w14:paraId="65BC01C4" w14:textId="77777777" w:rsidTr="00A54079">
        <w:trPr>
          <w:cantSplit/>
          <w:tblHeader/>
        </w:trPr>
        <w:tc>
          <w:tcPr>
            <w:tcW w:w="4817" w:type="dxa"/>
            <w:gridSpan w:val="2"/>
            <w:tcBorders>
              <w:top w:val="single" w:sz="6" w:space="0" w:color="auto"/>
              <w:bottom w:val="single" w:sz="6" w:space="0" w:color="auto"/>
            </w:tcBorders>
            <w:shd w:val="clear" w:color="auto" w:fill="auto"/>
            <w:vAlign w:val="center"/>
          </w:tcPr>
          <w:p w14:paraId="18B152A3"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Reporting—Land Application</w:t>
            </w:r>
          </w:p>
        </w:tc>
      </w:tr>
      <w:tr w:rsidR="00326E64" w:rsidRPr="00326E64" w14:paraId="0A521DBA" w14:textId="77777777" w:rsidTr="00A54079">
        <w:trPr>
          <w:cantSplit/>
          <w:tblHeader/>
        </w:trPr>
        <w:tc>
          <w:tcPr>
            <w:tcW w:w="2931" w:type="dxa"/>
            <w:tcBorders>
              <w:top w:val="single" w:sz="6" w:space="0" w:color="auto"/>
              <w:bottom w:val="single" w:sz="6" w:space="0" w:color="auto"/>
              <w:right w:val="single" w:sz="6" w:space="0" w:color="auto"/>
            </w:tcBorders>
            <w:shd w:val="clear" w:color="auto" w:fill="auto"/>
            <w:vAlign w:val="center"/>
          </w:tcPr>
          <w:p w14:paraId="789CB223"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Monitoring Period1</w:t>
            </w:r>
          </w:p>
          <w:p w14:paraId="2E6AE52C"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(Once per Quarter)</w:t>
            </w:r>
          </w:p>
        </w:tc>
        <w:tc>
          <w:tcPr>
            <w:tcW w:w="1886" w:type="dxa"/>
            <w:tcBorders>
              <w:top w:val="single" w:sz="6" w:space="0" w:color="auto"/>
              <w:left w:val="single" w:sz="6" w:space="0" w:color="auto"/>
              <w:bottom w:val="single" w:sz="6" w:space="0" w:color="auto"/>
            </w:tcBorders>
            <w:shd w:val="clear" w:color="auto" w:fill="auto"/>
            <w:vAlign w:val="center"/>
          </w:tcPr>
          <w:p w14:paraId="55E69795"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Report Due Date</w:t>
            </w:r>
          </w:p>
        </w:tc>
      </w:tr>
      <w:tr w:rsidR="00326E64" w:rsidRPr="00326E64" w14:paraId="36C3F09C" w14:textId="77777777" w:rsidTr="00A54079">
        <w:trPr>
          <w:cantSplit/>
          <w:tblHeader/>
        </w:trPr>
        <w:tc>
          <w:tcPr>
            <w:tcW w:w="2931" w:type="dxa"/>
            <w:tcBorders>
              <w:top w:val="single" w:sz="6" w:space="0" w:color="auto"/>
              <w:bottom w:val="single" w:sz="6" w:space="0" w:color="auto"/>
              <w:right w:val="single" w:sz="6" w:space="0" w:color="auto"/>
            </w:tcBorders>
          </w:tcPr>
          <w:p w14:paraId="0B4B1FF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January, February, March</w:t>
            </w:r>
          </w:p>
        </w:tc>
        <w:tc>
          <w:tcPr>
            <w:tcW w:w="1886" w:type="dxa"/>
            <w:vMerge w:val="restart"/>
            <w:tcBorders>
              <w:top w:val="single" w:sz="6" w:space="0" w:color="auto"/>
              <w:left w:val="single" w:sz="6" w:space="0" w:color="auto"/>
              <w:bottom w:val="single" w:sz="6" w:space="0" w:color="auto"/>
            </w:tcBorders>
            <w:vAlign w:val="center"/>
          </w:tcPr>
          <w:p w14:paraId="5C15434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August 19</w:t>
            </w:r>
          </w:p>
        </w:tc>
      </w:tr>
      <w:tr w:rsidR="00326E64" w:rsidRPr="00326E64" w14:paraId="4B6B5340" w14:textId="77777777" w:rsidTr="00A54079">
        <w:trPr>
          <w:cantSplit/>
          <w:tblHeader/>
        </w:trPr>
        <w:tc>
          <w:tcPr>
            <w:tcW w:w="2931" w:type="dxa"/>
            <w:tcBorders>
              <w:top w:val="single" w:sz="6" w:space="0" w:color="auto"/>
              <w:bottom w:val="single" w:sz="6" w:space="0" w:color="auto"/>
              <w:right w:val="single" w:sz="6" w:space="0" w:color="auto"/>
            </w:tcBorders>
          </w:tcPr>
          <w:p w14:paraId="15F2726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April, May, June</w:t>
            </w:r>
          </w:p>
        </w:tc>
        <w:tc>
          <w:tcPr>
            <w:tcW w:w="1886" w:type="dxa"/>
            <w:vMerge/>
            <w:tcBorders>
              <w:top w:val="single" w:sz="6" w:space="0" w:color="auto"/>
              <w:left w:val="single" w:sz="6" w:space="0" w:color="auto"/>
              <w:bottom w:val="single" w:sz="6" w:space="0" w:color="auto"/>
            </w:tcBorders>
          </w:tcPr>
          <w:p w14:paraId="111AC7B0"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0EFC3576" w14:textId="77777777" w:rsidTr="00A54079">
        <w:trPr>
          <w:cantSplit/>
          <w:tblHeader/>
        </w:trPr>
        <w:tc>
          <w:tcPr>
            <w:tcW w:w="2931" w:type="dxa"/>
            <w:tcBorders>
              <w:top w:val="single" w:sz="6" w:space="0" w:color="auto"/>
              <w:bottom w:val="single" w:sz="6" w:space="0" w:color="auto"/>
              <w:right w:val="single" w:sz="6" w:space="0" w:color="auto"/>
            </w:tcBorders>
          </w:tcPr>
          <w:p w14:paraId="6F658D7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July, August, September</w:t>
            </w:r>
          </w:p>
        </w:tc>
        <w:tc>
          <w:tcPr>
            <w:tcW w:w="1886" w:type="dxa"/>
            <w:vMerge w:val="restart"/>
            <w:tcBorders>
              <w:top w:val="single" w:sz="6" w:space="0" w:color="auto"/>
              <w:left w:val="single" w:sz="6" w:space="0" w:color="auto"/>
              <w:bottom w:val="single" w:sz="6" w:space="0" w:color="auto"/>
            </w:tcBorders>
            <w:vAlign w:val="center"/>
          </w:tcPr>
          <w:p w14:paraId="25F04E6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February 19</w:t>
            </w:r>
          </w:p>
        </w:tc>
      </w:tr>
      <w:tr w:rsidR="00326E64" w:rsidRPr="00326E64" w14:paraId="280389A9" w14:textId="77777777" w:rsidTr="00A54079">
        <w:trPr>
          <w:cantSplit/>
          <w:tblHeader/>
        </w:trPr>
        <w:tc>
          <w:tcPr>
            <w:tcW w:w="2931" w:type="dxa"/>
            <w:tcBorders>
              <w:top w:val="single" w:sz="6" w:space="0" w:color="auto"/>
              <w:bottom w:val="single" w:sz="6" w:space="0" w:color="auto"/>
              <w:right w:val="single" w:sz="6" w:space="0" w:color="auto"/>
            </w:tcBorders>
          </w:tcPr>
          <w:p w14:paraId="7C9BAF4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October, November, December</w:t>
            </w:r>
          </w:p>
        </w:tc>
        <w:tc>
          <w:tcPr>
            <w:tcW w:w="1886" w:type="dxa"/>
            <w:vMerge/>
            <w:tcBorders>
              <w:top w:val="single" w:sz="6" w:space="0" w:color="auto"/>
              <w:left w:val="single" w:sz="6" w:space="0" w:color="auto"/>
              <w:bottom w:val="single" w:sz="6" w:space="0" w:color="auto"/>
            </w:tcBorders>
          </w:tcPr>
          <w:p w14:paraId="7B9F4413"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5D4C1EF9" w14:textId="77777777" w:rsidTr="00A54079">
        <w:trPr>
          <w:cantSplit/>
          <w:trHeight w:val="102"/>
          <w:tblHeader/>
        </w:trPr>
        <w:tc>
          <w:tcPr>
            <w:tcW w:w="4817" w:type="dxa"/>
            <w:gridSpan w:val="2"/>
            <w:tcBorders>
              <w:top w:val="single" w:sz="6" w:space="0" w:color="auto"/>
              <w:bottom w:val="double" w:sz="6" w:space="0" w:color="auto"/>
            </w:tcBorders>
            <w:vAlign w:val="center"/>
          </w:tcPr>
          <w:p w14:paraId="2AC4DC8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1Separate reports must be submitted for each monitoring period.</w:t>
            </w:r>
          </w:p>
        </w:tc>
      </w:tr>
    </w:tbl>
    <w:p w14:paraId="4C4D15B1" w14:textId="77777777" w:rsidR="00326E64" w:rsidRPr="00326E64" w:rsidRDefault="00326E64" w:rsidP="00326E64">
      <w:pPr>
        <w:spacing w:line="480" w:lineRule="auto"/>
        <w:rPr>
          <w:rFonts w:ascii="Times New Roman" w:eastAsia="Calibri" w:hAnsi="Times New Roman" w:cs="Times New Roman"/>
          <w:strike/>
        </w:rPr>
      </w:pPr>
    </w:p>
    <w:p w14:paraId="4445FBF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For facilities having a frequency of monitoring in Table 1 of LAC 33:IX.7303.I of once per 60 days (six times per year), the reporting period and the report due date shall be as specified in Table 3 of LAC 33:IX.7303.K.</w:t>
      </w:r>
    </w:p>
    <w:tbl>
      <w:tblPr>
        <w:tblW w:w="0" w:type="auto"/>
        <w:tblInd w:w="3585"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ook w:val="0000" w:firstRow="0" w:lastRow="0" w:firstColumn="0" w:lastColumn="0" w:noHBand="0" w:noVBand="0"/>
      </w:tblPr>
      <w:tblGrid>
        <w:gridCol w:w="2931"/>
        <w:gridCol w:w="1886"/>
      </w:tblGrid>
      <w:tr w:rsidR="00326E64" w:rsidRPr="00326E64" w14:paraId="74847BAE" w14:textId="77777777" w:rsidTr="00A54079">
        <w:trPr>
          <w:cantSplit/>
          <w:tblHeader/>
        </w:trPr>
        <w:tc>
          <w:tcPr>
            <w:tcW w:w="4817" w:type="dxa"/>
            <w:gridSpan w:val="2"/>
            <w:tcBorders>
              <w:top w:val="double" w:sz="4" w:space="0" w:color="auto"/>
              <w:left w:val="double" w:sz="4" w:space="0" w:color="auto"/>
              <w:bottom w:val="single" w:sz="6" w:space="0" w:color="auto"/>
              <w:right w:val="double" w:sz="4" w:space="0" w:color="auto"/>
            </w:tcBorders>
            <w:shd w:val="clear" w:color="auto" w:fill="auto"/>
            <w:vAlign w:val="center"/>
          </w:tcPr>
          <w:p w14:paraId="4BE03CAC"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Table 3 of LAC 33:IX.7303.K</w:t>
            </w:r>
          </w:p>
        </w:tc>
      </w:tr>
      <w:tr w:rsidR="00326E64" w:rsidRPr="00326E64" w14:paraId="5516ACB4" w14:textId="77777777" w:rsidTr="00A54079">
        <w:trPr>
          <w:cantSplit/>
          <w:tblHeader/>
        </w:trPr>
        <w:tc>
          <w:tcPr>
            <w:tcW w:w="4817" w:type="dxa"/>
            <w:gridSpan w:val="2"/>
            <w:tcBorders>
              <w:top w:val="single" w:sz="6" w:space="0" w:color="auto"/>
              <w:left w:val="double" w:sz="4" w:space="0" w:color="auto"/>
              <w:bottom w:val="single" w:sz="6" w:space="0" w:color="auto"/>
              <w:right w:val="double" w:sz="4" w:space="0" w:color="auto"/>
            </w:tcBorders>
            <w:shd w:val="clear" w:color="auto" w:fill="auto"/>
            <w:vAlign w:val="center"/>
          </w:tcPr>
          <w:p w14:paraId="1989C351"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Reporting—Land Application</w:t>
            </w:r>
          </w:p>
        </w:tc>
      </w:tr>
      <w:tr w:rsidR="00326E64" w:rsidRPr="00326E64" w14:paraId="2622C363" w14:textId="77777777" w:rsidTr="00A54079">
        <w:trPr>
          <w:cantSplit/>
          <w:tblHeader/>
        </w:trPr>
        <w:tc>
          <w:tcPr>
            <w:tcW w:w="2931" w:type="dxa"/>
            <w:tcBorders>
              <w:top w:val="single" w:sz="6" w:space="0" w:color="auto"/>
              <w:left w:val="double" w:sz="4" w:space="0" w:color="auto"/>
              <w:bottom w:val="single" w:sz="6" w:space="0" w:color="auto"/>
            </w:tcBorders>
            <w:shd w:val="clear" w:color="auto" w:fill="auto"/>
            <w:vAlign w:val="center"/>
          </w:tcPr>
          <w:p w14:paraId="61EC4AA8"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Monitoring Period1</w:t>
            </w:r>
          </w:p>
          <w:p w14:paraId="40F903FF"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(Once per 60 Days)</w:t>
            </w:r>
          </w:p>
        </w:tc>
        <w:tc>
          <w:tcPr>
            <w:tcW w:w="1886" w:type="dxa"/>
            <w:tcBorders>
              <w:top w:val="single" w:sz="6" w:space="0" w:color="auto"/>
              <w:bottom w:val="single" w:sz="6" w:space="0" w:color="auto"/>
              <w:right w:val="double" w:sz="4" w:space="0" w:color="auto"/>
            </w:tcBorders>
            <w:shd w:val="clear" w:color="auto" w:fill="auto"/>
            <w:vAlign w:val="center"/>
          </w:tcPr>
          <w:p w14:paraId="2C1B15DE"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Report Due Date</w:t>
            </w:r>
          </w:p>
        </w:tc>
      </w:tr>
      <w:tr w:rsidR="00326E64" w:rsidRPr="00326E64" w14:paraId="15FBEB97" w14:textId="77777777" w:rsidTr="00A54079">
        <w:trPr>
          <w:cantSplit/>
        </w:trPr>
        <w:tc>
          <w:tcPr>
            <w:tcW w:w="2931" w:type="dxa"/>
            <w:tcBorders>
              <w:top w:val="single" w:sz="6" w:space="0" w:color="auto"/>
              <w:left w:val="double" w:sz="4" w:space="0" w:color="auto"/>
              <w:bottom w:val="single" w:sz="6" w:space="0" w:color="auto"/>
              <w:right w:val="single" w:sz="6" w:space="0" w:color="auto"/>
            </w:tcBorders>
          </w:tcPr>
          <w:p w14:paraId="1EAE695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January, February</w:t>
            </w:r>
          </w:p>
        </w:tc>
        <w:tc>
          <w:tcPr>
            <w:tcW w:w="1886" w:type="dxa"/>
            <w:vMerge w:val="restart"/>
            <w:tcBorders>
              <w:top w:val="single" w:sz="6" w:space="0" w:color="auto"/>
              <w:left w:val="single" w:sz="6" w:space="0" w:color="auto"/>
              <w:bottom w:val="single" w:sz="6" w:space="0" w:color="auto"/>
              <w:right w:val="double" w:sz="4" w:space="0" w:color="auto"/>
            </w:tcBorders>
            <w:vAlign w:val="center"/>
          </w:tcPr>
          <w:p w14:paraId="240CB15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June 19</w:t>
            </w:r>
          </w:p>
        </w:tc>
      </w:tr>
      <w:tr w:rsidR="00326E64" w:rsidRPr="00326E64" w14:paraId="38F553A3" w14:textId="77777777" w:rsidTr="00A54079">
        <w:trPr>
          <w:cantSplit/>
        </w:trPr>
        <w:tc>
          <w:tcPr>
            <w:tcW w:w="2931" w:type="dxa"/>
            <w:tcBorders>
              <w:top w:val="single" w:sz="6" w:space="0" w:color="auto"/>
              <w:left w:val="double" w:sz="4" w:space="0" w:color="auto"/>
              <w:bottom w:val="single" w:sz="6" w:space="0" w:color="auto"/>
              <w:right w:val="single" w:sz="6" w:space="0" w:color="auto"/>
            </w:tcBorders>
          </w:tcPr>
          <w:p w14:paraId="7C89ADE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March, April</w:t>
            </w:r>
          </w:p>
        </w:tc>
        <w:tc>
          <w:tcPr>
            <w:tcW w:w="1886" w:type="dxa"/>
            <w:vMerge/>
            <w:tcBorders>
              <w:top w:val="single" w:sz="6" w:space="0" w:color="auto"/>
              <w:left w:val="single" w:sz="6" w:space="0" w:color="auto"/>
              <w:bottom w:val="single" w:sz="6" w:space="0" w:color="auto"/>
              <w:right w:val="double" w:sz="4" w:space="0" w:color="auto"/>
            </w:tcBorders>
            <w:vAlign w:val="center"/>
          </w:tcPr>
          <w:p w14:paraId="48E29EDD"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6B2535D6" w14:textId="77777777" w:rsidTr="00A54079">
        <w:trPr>
          <w:cantSplit/>
        </w:trPr>
        <w:tc>
          <w:tcPr>
            <w:tcW w:w="2931" w:type="dxa"/>
            <w:tcBorders>
              <w:top w:val="single" w:sz="6" w:space="0" w:color="auto"/>
              <w:left w:val="double" w:sz="4" w:space="0" w:color="auto"/>
              <w:bottom w:val="single" w:sz="6" w:space="0" w:color="auto"/>
            </w:tcBorders>
          </w:tcPr>
          <w:p w14:paraId="3696556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May, June</w:t>
            </w:r>
          </w:p>
        </w:tc>
        <w:tc>
          <w:tcPr>
            <w:tcW w:w="1886" w:type="dxa"/>
            <w:vMerge w:val="restart"/>
            <w:tcBorders>
              <w:top w:val="single" w:sz="6" w:space="0" w:color="auto"/>
              <w:bottom w:val="single" w:sz="6" w:space="0" w:color="auto"/>
              <w:right w:val="double" w:sz="4" w:space="0" w:color="auto"/>
            </w:tcBorders>
            <w:vAlign w:val="center"/>
          </w:tcPr>
          <w:p w14:paraId="40572B4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October 19</w:t>
            </w:r>
          </w:p>
        </w:tc>
      </w:tr>
      <w:tr w:rsidR="00326E64" w:rsidRPr="00326E64" w14:paraId="2F8D039E" w14:textId="77777777" w:rsidTr="00A54079">
        <w:trPr>
          <w:cantSplit/>
        </w:trPr>
        <w:tc>
          <w:tcPr>
            <w:tcW w:w="2931" w:type="dxa"/>
            <w:tcBorders>
              <w:top w:val="single" w:sz="6" w:space="0" w:color="auto"/>
              <w:left w:val="double" w:sz="4" w:space="0" w:color="auto"/>
              <w:bottom w:val="single" w:sz="6" w:space="0" w:color="auto"/>
            </w:tcBorders>
          </w:tcPr>
          <w:p w14:paraId="0D8F3F2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July, August</w:t>
            </w:r>
          </w:p>
        </w:tc>
        <w:tc>
          <w:tcPr>
            <w:tcW w:w="1886" w:type="dxa"/>
            <w:vMerge/>
            <w:tcBorders>
              <w:top w:val="single" w:sz="6" w:space="0" w:color="auto"/>
              <w:bottom w:val="single" w:sz="6" w:space="0" w:color="auto"/>
              <w:right w:val="double" w:sz="4" w:space="0" w:color="auto"/>
            </w:tcBorders>
            <w:vAlign w:val="center"/>
          </w:tcPr>
          <w:p w14:paraId="4B7701CD"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5B9D4F1C" w14:textId="77777777" w:rsidTr="00A54079">
        <w:trPr>
          <w:cantSplit/>
        </w:trPr>
        <w:tc>
          <w:tcPr>
            <w:tcW w:w="2931" w:type="dxa"/>
            <w:tcBorders>
              <w:top w:val="single" w:sz="6" w:space="0" w:color="auto"/>
              <w:left w:val="double" w:sz="4" w:space="0" w:color="auto"/>
              <w:bottom w:val="single" w:sz="6" w:space="0" w:color="auto"/>
            </w:tcBorders>
          </w:tcPr>
          <w:p w14:paraId="4FD09EB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September, October</w:t>
            </w:r>
          </w:p>
        </w:tc>
        <w:tc>
          <w:tcPr>
            <w:tcW w:w="1886" w:type="dxa"/>
            <w:vMerge w:val="restart"/>
            <w:tcBorders>
              <w:top w:val="single" w:sz="6" w:space="0" w:color="auto"/>
              <w:bottom w:val="single" w:sz="6" w:space="0" w:color="auto"/>
              <w:right w:val="double" w:sz="4" w:space="0" w:color="auto"/>
            </w:tcBorders>
            <w:vAlign w:val="center"/>
          </w:tcPr>
          <w:p w14:paraId="11649B0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February 19</w:t>
            </w:r>
          </w:p>
        </w:tc>
      </w:tr>
      <w:tr w:rsidR="00326E64" w:rsidRPr="00326E64" w14:paraId="328ED0EB" w14:textId="77777777" w:rsidTr="00A54079">
        <w:trPr>
          <w:cantSplit/>
        </w:trPr>
        <w:tc>
          <w:tcPr>
            <w:tcW w:w="2931" w:type="dxa"/>
            <w:tcBorders>
              <w:top w:val="single" w:sz="6" w:space="0" w:color="auto"/>
              <w:left w:val="double" w:sz="4" w:space="0" w:color="auto"/>
              <w:bottom w:val="single" w:sz="6" w:space="0" w:color="auto"/>
            </w:tcBorders>
          </w:tcPr>
          <w:p w14:paraId="3CF0DC0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November, December</w:t>
            </w:r>
          </w:p>
        </w:tc>
        <w:tc>
          <w:tcPr>
            <w:tcW w:w="1886" w:type="dxa"/>
            <w:vMerge/>
            <w:tcBorders>
              <w:top w:val="single" w:sz="6" w:space="0" w:color="auto"/>
              <w:bottom w:val="single" w:sz="6" w:space="0" w:color="auto"/>
              <w:right w:val="double" w:sz="4" w:space="0" w:color="auto"/>
            </w:tcBorders>
          </w:tcPr>
          <w:p w14:paraId="7F3515B6"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6CC008F2" w14:textId="77777777" w:rsidTr="00A54079">
        <w:trPr>
          <w:cantSplit/>
        </w:trPr>
        <w:tc>
          <w:tcPr>
            <w:tcW w:w="4817" w:type="dxa"/>
            <w:gridSpan w:val="2"/>
            <w:tcBorders>
              <w:top w:val="single" w:sz="6" w:space="0" w:color="auto"/>
              <w:left w:val="double" w:sz="4" w:space="0" w:color="auto"/>
              <w:bottom w:val="double" w:sz="4" w:space="0" w:color="auto"/>
              <w:right w:val="double" w:sz="4" w:space="0" w:color="auto"/>
            </w:tcBorders>
          </w:tcPr>
          <w:p w14:paraId="2BF18D2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1Separate reports must be submitted for each monitoring period.</w:t>
            </w:r>
          </w:p>
        </w:tc>
      </w:tr>
    </w:tbl>
    <w:p w14:paraId="1E242394" w14:textId="77777777" w:rsidR="00326E64" w:rsidRPr="00326E64" w:rsidRDefault="00326E64" w:rsidP="00326E64">
      <w:pPr>
        <w:spacing w:line="480" w:lineRule="auto"/>
        <w:rPr>
          <w:rFonts w:ascii="Times New Roman" w:eastAsia="Calibri" w:hAnsi="Times New Roman" w:cs="Times New Roman"/>
          <w:strike/>
        </w:rPr>
      </w:pPr>
    </w:p>
    <w:p w14:paraId="6B759B6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For facilities having a frequency of monitoring in Table 1 of LAC 33:IX.7303.I of once per month (12 times per year), the reporting period and the report due date shall be as specified in Table 4 of LAC 33:IX.7303.K.</w:t>
      </w:r>
    </w:p>
    <w:tbl>
      <w:tblPr>
        <w:tblW w:w="0" w:type="auto"/>
        <w:tblInd w:w="357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931"/>
        <w:gridCol w:w="1886"/>
      </w:tblGrid>
      <w:tr w:rsidR="00326E64" w:rsidRPr="00326E64" w14:paraId="6A5E3AF6" w14:textId="77777777" w:rsidTr="00A54079">
        <w:trPr>
          <w:cantSplit/>
          <w:tblHeader/>
        </w:trPr>
        <w:tc>
          <w:tcPr>
            <w:tcW w:w="4817" w:type="dxa"/>
            <w:gridSpan w:val="2"/>
            <w:tcBorders>
              <w:top w:val="double" w:sz="6" w:space="0" w:color="auto"/>
              <w:bottom w:val="single" w:sz="6" w:space="0" w:color="auto"/>
            </w:tcBorders>
            <w:shd w:val="clear" w:color="auto" w:fill="auto"/>
            <w:vAlign w:val="center"/>
          </w:tcPr>
          <w:p w14:paraId="19D70EC4"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lastRenderedPageBreak/>
              <w:t>Table 4 of LAC 33:IX.7303.K</w:t>
            </w:r>
          </w:p>
        </w:tc>
      </w:tr>
      <w:tr w:rsidR="00326E64" w:rsidRPr="00326E64" w14:paraId="38B9E0D0" w14:textId="77777777" w:rsidTr="00A54079">
        <w:trPr>
          <w:cantSplit/>
          <w:tblHeader/>
        </w:trPr>
        <w:tc>
          <w:tcPr>
            <w:tcW w:w="4817" w:type="dxa"/>
            <w:gridSpan w:val="2"/>
            <w:tcBorders>
              <w:top w:val="single" w:sz="6" w:space="0" w:color="auto"/>
              <w:bottom w:val="single" w:sz="6" w:space="0" w:color="auto"/>
            </w:tcBorders>
            <w:shd w:val="clear" w:color="auto" w:fill="auto"/>
            <w:vAlign w:val="center"/>
          </w:tcPr>
          <w:p w14:paraId="3C08CD54"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Reporting—Land Application</w:t>
            </w:r>
          </w:p>
        </w:tc>
      </w:tr>
      <w:tr w:rsidR="00326E64" w:rsidRPr="00326E64" w14:paraId="2A3F86ED" w14:textId="77777777" w:rsidTr="00A54079">
        <w:trPr>
          <w:cantSplit/>
          <w:tblHeader/>
        </w:trPr>
        <w:tc>
          <w:tcPr>
            <w:tcW w:w="2931" w:type="dxa"/>
            <w:tcBorders>
              <w:top w:val="single" w:sz="6" w:space="0" w:color="auto"/>
              <w:bottom w:val="single" w:sz="6" w:space="0" w:color="auto"/>
            </w:tcBorders>
            <w:shd w:val="clear" w:color="auto" w:fill="auto"/>
            <w:vAlign w:val="center"/>
          </w:tcPr>
          <w:p w14:paraId="4DF26879"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Monitoring Period1</w:t>
            </w:r>
          </w:p>
          <w:p w14:paraId="679ECCC9"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(Once per Month)</w:t>
            </w:r>
          </w:p>
        </w:tc>
        <w:tc>
          <w:tcPr>
            <w:tcW w:w="1886" w:type="dxa"/>
            <w:tcBorders>
              <w:top w:val="single" w:sz="6" w:space="0" w:color="auto"/>
              <w:bottom w:val="single" w:sz="6" w:space="0" w:color="auto"/>
            </w:tcBorders>
            <w:shd w:val="clear" w:color="auto" w:fill="auto"/>
            <w:vAlign w:val="center"/>
          </w:tcPr>
          <w:p w14:paraId="52232B43"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Report Due Date</w:t>
            </w:r>
          </w:p>
        </w:tc>
      </w:tr>
      <w:tr w:rsidR="00326E64" w:rsidRPr="00326E64" w14:paraId="33B865A3" w14:textId="77777777" w:rsidTr="00A54079">
        <w:trPr>
          <w:cantSplit/>
        </w:trPr>
        <w:tc>
          <w:tcPr>
            <w:tcW w:w="2931" w:type="dxa"/>
            <w:tcBorders>
              <w:top w:val="single" w:sz="6" w:space="0" w:color="auto"/>
            </w:tcBorders>
          </w:tcPr>
          <w:p w14:paraId="622806E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January</w:t>
            </w:r>
          </w:p>
        </w:tc>
        <w:tc>
          <w:tcPr>
            <w:tcW w:w="1886" w:type="dxa"/>
            <w:vMerge w:val="restart"/>
            <w:tcBorders>
              <w:top w:val="single" w:sz="6" w:space="0" w:color="auto"/>
            </w:tcBorders>
            <w:vAlign w:val="center"/>
          </w:tcPr>
          <w:p w14:paraId="349E308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May 19</w:t>
            </w:r>
          </w:p>
        </w:tc>
      </w:tr>
      <w:tr w:rsidR="00326E64" w:rsidRPr="00326E64" w14:paraId="3F8FBF76" w14:textId="77777777" w:rsidTr="00A54079">
        <w:trPr>
          <w:cantSplit/>
        </w:trPr>
        <w:tc>
          <w:tcPr>
            <w:tcW w:w="2931" w:type="dxa"/>
          </w:tcPr>
          <w:p w14:paraId="441FF9B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February</w:t>
            </w:r>
          </w:p>
        </w:tc>
        <w:tc>
          <w:tcPr>
            <w:tcW w:w="1886" w:type="dxa"/>
            <w:vMerge/>
            <w:vAlign w:val="center"/>
          </w:tcPr>
          <w:p w14:paraId="19BB3FEA"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496CA1E8" w14:textId="77777777" w:rsidTr="00A54079">
        <w:trPr>
          <w:cantSplit/>
        </w:trPr>
        <w:tc>
          <w:tcPr>
            <w:tcW w:w="2931" w:type="dxa"/>
          </w:tcPr>
          <w:p w14:paraId="08B0E85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March</w:t>
            </w:r>
          </w:p>
        </w:tc>
        <w:tc>
          <w:tcPr>
            <w:tcW w:w="1886" w:type="dxa"/>
            <w:vMerge/>
            <w:vAlign w:val="center"/>
          </w:tcPr>
          <w:p w14:paraId="05CDF640"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464B54C8" w14:textId="77777777" w:rsidTr="00A54079">
        <w:trPr>
          <w:cantSplit/>
        </w:trPr>
        <w:tc>
          <w:tcPr>
            <w:tcW w:w="2931" w:type="dxa"/>
          </w:tcPr>
          <w:p w14:paraId="678C250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April</w:t>
            </w:r>
          </w:p>
        </w:tc>
        <w:tc>
          <w:tcPr>
            <w:tcW w:w="1886" w:type="dxa"/>
            <w:vMerge w:val="restart"/>
            <w:vAlign w:val="center"/>
          </w:tcPr>
          <w:p w14:paraId="0674B4D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August 19</w:t>
            </w:r>
          </w:p>
        </w:tc>
      </w:tr>
      <w:tr w:rsidR="00326E64" w:rsidRPr="00326E64" w14:paraId="40C8545B" w14:textId="77777777" w:rsidTr="00A54079">
        <w:trPr>
          <w:cantSplit/>
        </w:trPr>
        <w:tc>
          <w:tcPr>
            <w:tcW w:w="2931" w:type="dxa"/>
          </w:tcPr>
          <w:p w14:paraId="530055F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May</w:t>
            </w:r>
          </w:p>
        </w:tc>
        <w:tc>
          <w:tcPr>
            <w:tcW w:w="1886" w:type="dxa"/>
            <w:vMerge/>
            <w:vAlign w:val="center"/>
          </w:tcPr>
          <w:p w14:paraId="4EEEF8B7"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02B7783D" w14:textId="77777777" w:rsidTr="00A54079">
        <w:trPr>
          <w:cantSplit/>
        </w:trPr>
        <w:tc>
          <w:tcPr>
            <w:tcW w:w="2931" w:type="dxa"/>
          </w:tcPr>
          <w:p w14:paraId="6058F2A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June</w:t>
            </w:r>
          </w:p>
        </w:tc>
        <w:tc>
          <w:tcPr>
            <w:tcW w:w="1886" w:type="dxa"/>
            <w:vMerge/>
            <w:vAlign w:val="center"/>
          </w:tcPr>
          <w:p w14:paraId="4F6221CC"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32D920B7" w14:textId="77777777" w:rsidTr="00A54079">
        <w:trPr>
          <w:cantSplit/>
        </w:trPr>
        <w:tc>
          <w:tcPr>
            <w:tcW w:w="2931" w:type="dxa"/>
          </w:tcPr>
          <w:p w14:paraId="538C699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July</w:t>
            </w:r>
          </w:p>
        </w:tc>
        <w:tc>
          <w:tcPr>
            <w:tcW w:w="1886" w:type="dxa"/>
            <w:vMerge w:val="restart"/>
            <w:vAlign w:val="center"/>
          </w:tcPr>
          <w:p w14:paraId="4CBABC5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November 19</w:t>
            </w:r>
          </w:p>
        </w:tc>
      </w:tr>
      <w:tr w:rsidR="00326E64" w:rsidRPr="00326E64" w14:paraId="284E05BD" w14:textId="77777777" w:rsidTr="00A54079">
        <w:trPr>
          <w:cantSplit/>
        </w:trPr>
        <w:tc>
          <w:tcPr>
            <w:tcW w:w="2931" w:type="dxa"/>
          </w:tcPr>
          <w:p w14:paraId="4EC8D9A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August</w:t>
            </w:r>
          </w:p>
        </w:tc>
        <w:tc>
          <w:tcPr>
            <w:tcW w:w="1886" w:type="dxa"/>
            <w:vMerge/>
            <w:vAlign w:val="center"/>
          </w:tcPr>
          <w:p w14:paraId="0A52DF52"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68B73BBA" w14:textId="77777777" w:rsidTr="00A54079">
        <w:trPr>
          <w:cantSplit/>
        </w:trPr>
        <w:tc>
          <w:tcPr>
            <w:tcW w:w="2931" w:type="dxa"/>
          </w:tcPr>
          <w:p w14:paraId="543ED8E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September</w:t>
            </w:r>
          </w:p>
        </w:tc>
        <w:tc>
          <w:tcPr>
            <w:tcW w:w="1886" w:type="dxa"/>
            <w:vMerge/>
            <w:vAlign w:val="center"/>
          </w:tcPr>
          <w:p w14:paraId="0A152849"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67E71A29" w14:textId="77777777" w:rsidTr="00A54079">
        <w:trPr>
          <w:cantSplit/>
        </w:trPr>
        <w:tc>
          <w:tcPr>
            <w:tcW w:w="2931" w:type="dxa"/>
          </w:tcPr>
          <w:p w14:paraId="587B4C2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October</w:t>
            </w:r>
          </w:p>
        </w:tc>
        <w:tc>
          <w:tcPr>
            <w:tcW w:w="1886" w:type="dxa"/>
            <w:vMerge w:val="restart"/>
            <w:vAlign w:val="center"/>
          </w:tcPr>
          <w:p w14:paraId="0D25382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February 19</w:t>
            </w:r>
          </w:p>
        </w:tc>
      </w:tr>
      <w:tr w:rsidR="00326E64" w:rsidRPr="00326E64" w14:paraId="3FF62496" w14:textId="77777777" w:rsidTr="00A54079">
        <w:trPr>
          <w:cantSplit/>
        </w:trPr>
        <w:tc>
          <w:tcPr>
            <w:tcW w:w="2931" w:type="dxa"/>
          </w:tcPr>
          <w:p w14:paraId="27E37E5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November</w:t>
            </w:r>
          </w:p>
        </w:tc>
        <w:tc>
          <w:tcPr>
            <w:tcW w:w="1886" w:type="dxa"/>
            <w:vMerge/>
          </w:tcPr>
          <w:p w14:paraId="5D73D66E"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2630F407" w14:textId="77777777" w:rsidTr="00A54079">
        <w:trPr>
          <w:cantSplit/>
        </w:trPr>
        <w:tc>
          <w:tcPr>
            <w:tcW w:w="2931" w:type="dxa"/>
          </w:tcPr>
          <w:p w14:paraId="60E6542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December</w:t>
            </w:r>
          </w:p>
        </w:tc>
        <w:tc>
          <w:tcPr>
            <w:tcW w:w="1886" w:type="dxa"/>
            <w:vMerge/>
          </w:tcPr>
          <w:p w14:paraId="7F381956"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268760D6" w14:textId="77777777" w:rsidTr="00A54079">
        <w:trPr>
          <w:cantSplit/>
        </w:trPr>
        <w:tc>
          <w:tcPr>
            <w:tcW w:w="4817" w:type="dxa"/>
            <w:gridSpan w:val="2"/>
          </w:tcPr>
          <w:p w14:paraId="3F0E66B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1Separate reports must be submitted for each monitoring period.</w:t>
            </w:r>
          </w:p>
        </w:tc>
      </w:tr>
    </w:tbl>
    <w:p w14:paraId="329AA9DD" w14:textId="77777777" w:rsidR="00326E64" w:rsidRPr="00326E64" w:rsidRDefault="00326E64" w:rsidP="00326E64">
      <w:pPr>
        <w:spacing w:line="480" w:lineRule="auto"/>
        <w:rPr>
          <w:rFonts w:ascii="Times New Roman" w:eastAsia="Calibri" w:hAnsi="Times New Roman" w:cs="Times New Roman"/>
          <w:strike/>
        </w:rPr>
      </w:pPr>
    </w:p>
    <w:p w14:paraId="72735EF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3.</w:t>
      </w:r>
      <w:r w:rsidRPr="00326E64">
        <w:rPr>
          <w:rFonts w:ascii="Times New Roman" w:eastAsia="Calibri" w:hAnsi="Times New Roman" w:cs="Times New Roman"/>
          <w:strike/>
        </w:rPr>
        <w:tab/>
        <w:t>The administrative authority may require any facility indicated in Subparagraph K.2.a of this Section to report any or all of the information required in Subparagraph K.2.b of this Section if deemed necessary for the protection of human health or the environment.</w:t>
      </w:r>
    </w:p>
    <w:p w14:paraId="4F10431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strike/>
        </w:rPr>
        <w:t>L.</w:t>
      </w:r>
      <w:r w:rsidRPr="00326E64">
        <w:rPr>
          <w:rFonts w:ascii="Times New Roman" w:eastAsia="Calibri" w:hAnsi="Times New Roman" w:cs="Times New Roman"/>
          <w:strike/>
        </w:rPr>
        <w:tab/>
        <w:t>Requirements for Persons Who Prepare Sewage Sludge as Exceptional Quality Biosolids</w:t>
      </w:r>
    </w:p>
    <w:p w14:paraId="3DE9A25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A person who prepares sewage sludge as Exceptional Quality biosolids must prepare the sewage sludge in a manner that will assure that the sewage sludge meets all of the requirements of Exceptional Quality biosolids, as defined in LAC 33:IX.7301.B, and shall forward to the administrative authority a sewage sludge and biosolids use or disposal permit application form having the following information:</w:t>
      </w:r>
    </w:p>
    <w:p w14:paraId="4705C22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laboratory analysis of the metals in Tables 1 and 3 of LAC 33:IX.7303.E;</w:t>
      </w:r>
    </w:p>
    <w:p w14:paraId="42F6A7F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laboratory analysis for percent dry solids, percent ammonia nitrogen, percent nitrate, percent nitrite, percent nitrogen, percent phosphorus, percent potassium, and percent organic matter and, if the sewage sludge or biosolids underwent or were subjected to any type of alkaline stabilization and/or alkaline treatment, the pH of the sewage sludge or biosolids;</w:t>
      </w:r>
    </w:p>
    <w:p w14:paraId="0B95847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the laboratory results for polychlorinated biphenyls (PCBs);</w:t>
      </w:r>
    </w:p>
    <w:p w14:paraId="0208BB9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the Exceptional Quality biosolids pathogen requirement in LAC 33:IX.7309.C.1 that will be utilized;</w:t>
      </w:r>
    </w:p>
    <w:p w14:paraId="2411D70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the vector attraction reduction requirement in LAC 33:IX.7309.D.2.a-e that will be utilized;</w:t>
      </w:r>
    </w:p>
    <w:p w14:paraId="5B7286A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f.</w:t>
      </w:r>
      <w:r w:rsidRPr="00326E64">
        <w:rPr>
          <w:rFonts w:ascii="Times New Roman" w:eastAsia="Calibri" w:hAnsi="Times New Roman" w:cs="Times New Roman"/>
          <w:strike/>
        </w:rPr>
        <w:tab/>
        <w:t>an example of the label or information sheet that will accompany biosolids that are sold or given away either in bulk or in a bag, containing the following information:</w:t>
      </w:r>
    </w:p>
    <w:p w14:paraId="53A4891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name and address of the preparer;</w:t>
      </w:r>
    </w:p>
    <w:p w14:paraId="6A2CEC3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the concentration (by volume) of each metal in Table 3 of LAC 33:IX.7303.E;</w:t>
      </w:r>
    </w:p>
    <w:p w14:paraId="586EA2D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percent nitrogen;</w:t>
      </w:r>
    </w:p>
    <w:p w14:paraId="2769058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percent ammonia nitrogen;</w:t>
      </w:r>
    </w:p>
    <w:p w14:paraId="0306624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w:t>
      </w:r>
      <w:r w:rsidRPr="00326E64">
        <w:rPr>
          <w:rFonts w:ascii="Times New Roman" w:eastAsia="Calibri" w:hAnsi="Times New Roman" w:cs="Times New Roman"/>
          <w:strike/>
        </w:rPr>
        <w:tab/>
        <w:t>percent phosphorus;</w:t>
      </w:r>
    </w:p>
    <w:p w14:paraId="26F48A1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w:t>
      </w:r>
      <w:r w:rsidRPr="00326E64">
        <w:rPr>
          <w:rFonts w:ascii="Times New Roman" w:eastAsia="Calibri" w:hAnsi="Times New Roman" w:cs="Times New Roman"/>
          <w:strike/>
        </w:rPr>
        <w:tab/>
        <w:t>percent potassium;</w:t>
      </w:r>
    </w:p>
    <w:p w14:paraId="0E6287D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vii.</w:t>
      </w:r>
      <w:r w:rsidRPr="00326E64">
        <w:rPr>
          <w:rFonts w:ascii="Times New Roman" w:eastAsia="Calibri" w:hAnsi="Times New Roman" w:cs="Times New Roman"/>
          <w:strike/>
        </w:rPr>
        <w:tab/>
        <w:t>pH;</w:t>
      </w:r>
    </w:p>
    <w:p w14:paraId="7501709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viii.</w:t>
      </w:r>
      <w:r w:rsidRPr="00326E64">
        <w:rPr>
          <w:rFonts w:ascii="Times New Roman" w:eastAsia="Calibri" w:hAnsi="Times New Roman" w:cs="Times New Roman"/>
          <w:strike/>
        </w:rPr>
        <w:tab/>
        <w:t>the concentration of PCBs in mg/kg of total solids (dry wt.); and</w:t>
      </w:r>
    </w:p>
    <w:p w14:paraId="5349EB0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ix.</w:t>
      </w:r>
      <w:r w:rsidRPr="00326E64">
        <w:rPr>
          <w:rFonts w:ascii="Times New Roman" w:eastAsia="Calibri" w:hAnsi="Times New Roman" w:cs="Times New Roman"/>
          <w:strike/>
        </w:rPr>
        <w:tab/>
        <w:t>application instructions and a statement that application of the biosolids to the land is prohibited except in accordance with the instructions on the label or information sheet; and</w:t>
      </w:r>
    </w:p>
    <w:p w14:paraId="55CA948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g.</w:t>
      </w:r>
      <w:r w:rsidRPr="00326E64">
        <w:rPr>
          <w:rFonts w:ascii="Times New Roman" w:eastAsia="Calibri" w:hAnsi="Times New Roman" w:cs="Times New Roman"/>
          <w:strike/>
        </w:rPr>
        <w:tab/>
        <w:t>in addition to the label requirements in Clauses L.1.f.i-ix of this Section, an example of the label that must accompany all compost sold or given away either in bulk or in a bag or other container, having the following information:</w:t>
      </w:r>
    </w:p>
    <w:p w14:paraId="57B009B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soluble salt content;</w:t>
      </w:r>
    </w:p>
    <w:p w14:paraId="17712D5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water holding capacity;</w:t>
      </w:r>
    </w:p>
    <w:p w14:paraId="6BE5FCA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bulk density (lbs/yd3);</w:t>
      </w:r>
    </w:p>
    <w:p w14:paraId="7119C75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 xml:space="preserve">particle size; </w:t>
      </w:r>
    </w:p>
    <w:p w14:paraId="0502260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w:t>
      </w:r>
      <w:r w:rsidRPr="00326E64">
        <w:rPr>
          <w:rFonts w:ascii="Times New Roman" w:eastAsia="Calibri" w:hAnsi="Times New Roman" w:cs="Times New Roman"/>
          <w:strike/>
        </w:rPr>
        <w:tab/>
        <w:t>moisture content; and</w:t>
      </w:r>
    </w:p>
    <w:p w14:paraId="3E78F1D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w:t>
      </w:r>
      <w:r w:rsidRPr="00326E64">
        <w:rPr>
          <w:rFonts w:ascii="Times New Roman" w:eastAsia="Calibri" w:hAnsi="Times New Roman" w:cs="Times New Roman"/>
          <w:strike/>
        </w:rPr>
        <w:tab/>
        <w:t>percent organic matter content.</w:t>
      </w:r>
    </w:p>
    <w:p w14:paraId="40E3B50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 xml:space="preserve">The administrative authority may require that the biosolids meet more stringent pollutant limits, or limits for additional pollutants than those listed in Subparagraphs </w:t>
      </w:r>
      <w:r w:rsidRPr="00326E64">
        <w:rPr>
          <w:rFonts w:ascii="Times New Roman" w:eastAsia="Calibri" w:hAnsi="Times New Roman" w:cs="Times New Roman"/>
          <w:strike/>
        </w:rPr>
        <w:lastRenderedPageBreak/>
        <w:t>L.1.a-e of this Section, on a case-by-case basis after determining that the more stringent pollutant limits or limits for additional pollutants are needed to protect human health and the environment from any reasonably-anticipated adverse effect that may occur from the application of the biosolids to the land.</w:t>
      </w:r>
    </w:p>
    <w:p w14:paraId="7AA3BBA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3.</w:t>
      </w:r>
      <w:r w:rsidRPr="00326E64">
        <w:rPr>
          <w:rFonts w:ascii="Times New Roman" w:eastAsia="Calibri" w:hAnsi="Times New Roman" w:cs="Times New Roman"/>
          <w:strike/>
        </w:rPr>
        <w:tab/>
        <w:t>Samples required to be collected in accordance with Subparagraphs L1.a-c of this Section shall be from at least four representative samplings of the biosolids taken at least 60 days apart within the 12 months prior to the date of the submittal of the sewage sludge and biosolids use or disposal permit application form.</w:t>
      </w:r>
    </w:p>
    <w:p w14:paraId="7663032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4.</w:t>
      </w:r>
      <w:r w:rsidRPr="00326E64">
        <w:rPr>
          <w:rFonts w:ascii="Times New Roman" w:eastAsia="Calibri" w:hAnsi="Times New Roman" w:cs="Times New Roman"/>
          <w:strike/>
        </w:rPr>
        <w:tab/>
        <w:t>All permits issued to persons who prepare sewage sludge as Exceptional Quality biosolids shall have a term of not more than five years.</w:t>
      </w:r>
    </w:p>
    <w:p w14:paraId="4F7C06C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5.</w:t>
      </w:r>
      <w:r w:rsidRPr="00326E64">
        <w:rPr>
          <w:rFonts w:ascii="Times New Roman" w:eastAsia="Calibri" w:hAnsi="Times New Roman" w:cs="Times New Roman"/>
          <w:strike/>
        </w:rPr>
        <w:tab/>
        <w:t>For the term of the permit, the preparer of the biosolids shall conduct continued sampling at a frequency of monitoring indicated in Table 1 of LAC 33:IX.7303.L. The samples shall be analyzed for the parameters specified in Subparagraphs L.1.a-c of this Section, and for the pathogen and vector attraction reduction requirements in Subparagraphs L.1.d and e of this Section, as required by LAC 33:IX.7309.</w:t>
      </w:r>
    </w:p>
    <w:tbl>
      <w:tblPr>
        <w:tblW w:w="0" w:type="auto"/>
        <w:tblInd w:w="2137"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ook w:val="0000" w:firstRow="0" w:lastRow="0" w:firstColumn="0" w:lastColumn="0" w:noHBand="0" w:noVBand="0"/>
      </w:tblPr>
      <w:tblGrid>
        <w:gridCol w:w="3201"/>
        <w:gridCol w:w="1929"/>
      </w:tblGrid>
      <w:tr w:rsidR="00326E64" w:rsidRPr="00326E64" w14:paraId="58C594B7" w14:textId="77777777" w:rsidTr="00A54079">
        <w:trPr>
          <w:cantSplit/>
          <w:tblHeader/>
        </w:trPr>
        <w:tc>
          <w:tcPr>
            <w:tcW w:w="5130" w:type="dxa"/>
            <w:gridSpan w:val="2"/>
            <w:tcBorders>
              <w:top w:val="double" w:sz="6" w:space="0" w:color="auto"/>
              <w:bottom w:val="single" w:sz="6" w:space="0" w:color="auto"/>
            </w:tcBorders>
            <w:shd w:val="clear" w:color="auto" w:fill="auto"/>
            <w:vAlign w:val="center"/>
          </w:tcPr>
          <w:p w14:paraId="641D72AF"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lastRenderedPageBreak/>
              <w:t>Table 1 of LAC 33:IX.7303.L</w:t>
            </w:r>
          </w:p>
        </w:tc>
      </w:tr>
      <w:tr w:rsidR="00326E64" w:rsidRPr="00326E64" w14:paraId="721BEB18" w14:textId="77777777" w:rsidTr="00A54079">
        <w:trPr>
          <w:cantSplit/>
          <w:tblHeader/>
        </w:trPr>
        <w:tc>
          <w:tcPr>
            <w:tcW w:w="5130" w:type="dxa"/>
            <w:gridSpan w:val="2"/>
            <w:tcBorders>
              <w:top w:val="single" w:sz="6" w:space="0" w:color="auto"/>
              <w:bottom w:val="single" w:sz="6" w:space="0" w:color="auto"/>
            </w:tcBorders>
            <w:shd w:val="clear" w:color="auto" w:fill="auto"/>
            <w:vAlign w:val="center"/>
          </w:tcPr>
          <w:p w14:paraId="2EE714F6"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Frequency of Monitoring—Exceptional Quality Biosolids</w:t>
            </w:r>
          </w:p>
        </w:tc>
      </w:tr>
      <w:tr w:rsidR="00326E64" w:rsidRPr="00326E64" w14:paraId="619041AC" w14:textId="77777777" w:rsidTr="00A54079">
        <w:trPr>
          <w:cantSplit/>
          <w:tblHeader/>
        </w:trPr>
        <w:tc>
          <w:tcPr>
            <w:tcW w:w="3201" w:type="dxa"/>
            <w:tcBorders>
              <w:top w:val="single" w:sz="6" w:space="0" w:color="auto"/>
              <w:bottom w:val="single" w:sz="6" w:space="0" w:color="auto"/>
            </w:tcBorders>
            <w:shd w:val="clear" w:color="auto" w:fill="auto"/>
            <w:vAlign w:val="center"/>
          </w:tcPr>
          <w:p w14:paraId="3416EDBB"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Amount of Biosolids1</w:t>
            </w:r>
          </w:p>
          <w:p w14:paraId="6EAAFC11"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(metric tons per 365-day period)</w:t>
            </w:r>
          </w:p>
        </w:tc>
        <w:tc>
          <w:tcPr>
            <w:tcW w:w="1929" w:type="dxa"/>
            <w:tcBorders>
              <w:top w:val="single" w:sz="6" w:space="0" w:color="auto"/>
              <w:bottom w:val="single" w:sz="6" w:space="0" w:color="auto"/>
            </w:tcBorders>
            <w:shd w:val="clear" w:color="auto" w:fill="auto"/>
            <w:vAlign w:val="center"/>
          </w:tcPr>
          <w:p w14:paraId="30950FEA"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Frequency</w:t>
            </w:r>
          </w:p>
        </w:tc>
      </w:tr>
      <w:tr w:rsidR="00326E64" w:rsidRPr="00326E64" w14:paraId="3515CCAD" w14:textId="77777777" w:rsidTr="00A54079">
        <w:trPr>
          <w:cantSplit/>
          <w:tblHeader/>
        </w:trPr>
        <w:tc>
          <w:tcPr>
            <w:tcW w:w="3201" w:type="dxa"/>
            <w:tcBorders>
              <w:top w:val="single" w:sz="6" w:space="0" w:color="auto"/>
            </w:tcBorders>
          </w:tcPr>
          <w:p w14:paraId="7634502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Greater than zero but less than 15,000</w:t>
            </w:r>
          </w:p>
        </w:tc>
        <w:tc>
          <w:tcPr>
            <w:tcW w:w="1929" w:type="dxa"/>
            <w:tcBorders>
              <w:top w:val="single" w:sz="6" w:space="0" w:color="auto"/>
            </w:tcBorders>
            <w:vAlign w:val="center"/>
          </w:tcPr>
          <w:p w14:paraId="4FF2EA5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Once per quarter</w:t>
            </w:r>
            <w:r w:rsidRPr="00326E64">
              <w:rPr>
                <w:rFonts w:ascii="Times New Roman" w:eastAsia="Calibri" w:hAnsi="Times New Roman" w:cs="Times New Roman"/>
                <w:strike/>
              </w:rPr>
              <w:br/>
              <w:t>(four times per year)</w:t>
            </w:r>
          </w:p>
        </w:tc>
      </w:tr>
      <w:tr w:rsidR="00326E64" w:rsidRPr="00326E64" w14:paraId="69BB9890" w14:textId="77777777" w:rsidTr="00A54079">
        <w:trPr>
          <w:cantSplit/>
          <w:tblHeader/>
        </w:trPr>
        <w:tc>
          <w:tcPr>
            <w:tcW w:w="3201" w:type="dxa"/>
          </w:tcPr>
          <w:p w14:paraId="2059C8F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Equal to or greater than 15,000</w:t>
            </w:r>
          </w:p>
        </w:tc>
        <w:tc>
          <w:tcPr>
            <w:tcW w:w="1929" w:type="dxa"/>
            <w:vAlign w:val="center"/>
          </w:tcPr>
          <w:p w14:paraId="2F8057F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Once per month </w:t>
            </w:r>
            <w:r w:rsidRPr="00326E64">
              <w:rPr>
                <w:rFonts w:ascii="Times New Roman" w:eastAsia="Calibri" w:hAnsi="Times New Roman" w:cs="Times New Roman"/>
                <w:strike/>
              </w:rPr>
              <w:br/>
              <w:t>(12 times per year)</w:t>
            </w:r>
          </w:p>
        </w:tc>
      </w:tr>
      <w:tr w:rsidR="00326E64" w:rsidRPr="00326E64" w14:paraId="006AA0D3" w14:textId="77777777" w:rsidTr="00A54079">
        <w:trPr>
          <w:cantSplit/>
          <w:tblHeader/>
        </w:trPr>
        <w:tc>
          <w:tcPr>
            <w:tcW w:w="5130" w:type="dxa"/>
            <w:gridSpan w:val="2"/>
            <w:vAlign w:val="center"/>
          </w:tcPr>
          <w:p w14:paraId="5CD8B37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1The amount of biosolids sold or given away either in bulk or in a bag or other container.</w:t>
            </w:r>
          </w:p>
        </w:tc>
      </w:tr>
    </w:tbl>
    <w:p w14:paraId="15A86D09" w14:textId="77777777" w:rsidR="00326E64" w:rsidRPr="00326E64" w:rsidRDefault="00326E64" w:rsidP="00326E64">
      <w:pPr>
        <w:spacing w:line="480" w:lineRule="auto"/>
        <w:rPr>
          <w:rFonts w:ascii="Times New Roman" w:eastAsia="Calibri" w:hAnsi="Times New Roman" w:cs="Times New Roman"/>
          <w:strike/>
        </w:rPr>
      </w:pPr>
    </w:p>
    <w:p w14:paraId="796BB67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After the biosolids have been monitored for two years at the frequency in the Table 1 of LAC 33:IX.7303.L, the administrative authority may reduce the frequency of monitoring for the parameters specified in Subparagraphs L.1.a-c of this Section, and for the pathogen and vector attraction reduction requirements in Subparagraphs L.1.d and e of this Section, as required by LAC 33:IX.7309.</w:t>
      </w:r>
    </w:p>
    <w:p w14:paraId="344370B9" w14:textId="77777777" w:rsidR="00326E64" w:rsidRPr="00326E64" w:rsidRDefault="00326E64" w:rsidP="00326E64">
      <w:pPr>
        <w:spacing w:line="480" w:lineRule="auto"/>
        <w:rPr>
          <w:rFonts w:ascii="Times New Roman" w:eastAsia="Calibri" w:hAnsi="Times New Roman" w:cs="Times New Roman"/>
          <w:strike/>
        </w:rPr>
      </w:pPr>
    </w:p>
    <w:p w14:paraId="1A482CB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strike/>
        </w:rPr>
        <w:t>6.</w:t>
      </w:r>
      <w:r w:rsidRPr="00326E64">
        <w:rPr>
          <w:rFonts w:ascii="Times New Roman" w:eastAsia="Calibri" w:hAnsi="Times New Roman" w:cs="Times New Roman"/>
          <w:strike/>
        </w:rPr>
        <w:tab/>
        <w:t>If results of the sampling indicate that the biosolids are no longer Exceptional Quality biosolids, as defined in LAC 33:IX.7301.B, then the preparer must cease any land application of the biosolids as Exceptional Quality biosolids.</w:t>
      </w:r>
    </w:p>
    <w:p w14:paraId="5DE85B9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7.</w:t>
      </w:r>
      <w:r w:rsidRPr="00326E64">
        <w:rPr>
          <w:rFonts w:ascii="Times New Roman" w:eastAsia="Calibri" w:hAnsi="Times New Roman" w:cs="Times New Roman"/>
          <w:strike/>
        </w:rPr>
        <w:tab/>
        <w:t>If biosolids that are no longer Exceptional Quality biosolids are used or disposed, the exemption for Exceptional Quality biosolids no longer applies, and the biosolids must meet all the requirements and restrictions of this Chapter that apply to biosolids that are no longer Exceptional Quality biosolids.</w:t>
      </w:r>
    </w:p>
    <w:p w14:paraId="360DC9E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8.</w:t>
      </w:r>
      <w:r w:rsidRPr="00326E64">
        <w:rPr>
          <w:rFonts w:ascii="Times New Roman" w:eastAsia="Calibri" w:hAnsi="Times New Roman" w:cs="Times New Roman"/>
          <w:strike/>
        </w:rPr>
        <w:tab/>
        <w:t>Biosolids shall not be applied to the land as Exceptional Quality biosolids until the sample analyses have shown that the biosolids meet the criteria for Exceptional Quality biosolids, as defined in LAC 33:IX.7301.B.</w:t>
      </w:r>
    </w:p>
    <w:p w14:paraId="4A068E6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9.</w:t>
      </w:r>
      <w:r w:rsidRPr="00326E64">
        <w:rPr>
          <w:rFonts w:ascii="Times New Roman" w:eastAsia="Calibri" w:hAnsi="Times New Roman" w:cs="Times New Roman"/>
          <w:strike/>
        </w:rPr>
        <w:tab/>
        <w:t>The person who prepares the biosolids shall develop the following information and shall retain the information for five years:</w:t>
      </w:r>
    </w:p>
    <w:p w14:paraId="78922B8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results of the sample analysis required in Paragraph L.5 of this Section; and</w:t>
      </w:r>
    </w:p>
    <w:p w14:paraId="1A9CF4F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following certification statement:</w:t>
      </w:r>
    </w:p>
    <w:p w14:paraId="126FA66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"I certify, under penalty of law, that the information that will be used to determine compliance with the Exceptional Quality biosolids pathogen requirements in LAC 33:IX.7309.C.1 and the vector attraction reduction requirement in [insert one of the vector attraction reduction requirements in LAC 33:IX.7309.D.2.a-e] was prepared under my direction and supervision in accordance with the system as described in the permit application, designed to ensure that qualified personnel properly gather and evaluate this information. I am aware that there are significant penalties for false certification including the possibility of fine and imprisonment."</w:t>
      </w:r>
    </w:p>
    <w:p w14:paraId="604F164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strike/>
        </w:rPr>
        <w:t>10.</w:t>
      </w:r>
      <w:r w:rsidRPr="00326E64">
        <w:rPr>
          <w:rFonts w:ascii="Times New Roman" w:eastAsia="Calibri" w:hAnsi="Times New Roman" w:cs="Times New Roman"/>
          <w:strike/>
        </w:rPr>
        <w:tab/>
        <w:t>The person who prepares Exceptional Quality biosolids shall forward the information required in Paragraph L.9 of this Section to the administrative authority as follows.</w:t>
      </w:r>
    </w:p>
    <w:p w14:paraId="55178F3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For facilities having a frequency of monitoring in Table 1 of LAC 33:IX.7303.L of once per quarter (four times per year), the reporting periods and the report due dates shall be as specified in Table 2 of LAC 33:IX.7303.L.</w:t>
      </w:r>
    </w:p>
    <w:tbl>
      <w:tblPr>
        <w:tblW w:w="0" w:type="auto"/>
        <w:tblInd w:w="2857"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ook w:val="0000" w:firstRow="0" w:lastRow="0" w:firstColumn="0" w:lastColumn="0" w:noHBand="0" w:noVBand="0"/>
      </w:tblPr>
      <w:tblGrid>
        <w:gridCol w:w="2931"/>
        <w:gridCol w:w="1886"/>
      </w:tblGrid>
      <w:tr w:rsidR="00326E64" w:rsidRPr="00326E64" w14:paraId="7D4592ED" w14:textId="77777777" w:rsidTr="00A54079">
        <w:trPr>
          <w:cantSplit/>
          <w:tblHeader/>
        </w:trPr>
        <w:tc>
          <w:tcPr>
            <w:tcW w:w="4817" w:type="dxa"/>
            <w:gridSpan w:val="2"/>
            <w:tcBorders>
              <w:top w:val="double" w:sz="6" w:space="0" w:color="auto"/>
              <w:bottom w:val="single" w:sz="6" w:space="0" w:color="auto"/>
            </w:tcBorders>
            <w:shd w:val="clear" w:color="auto" w:fill="auto"/>
            <w:vAlign w:val="center"/>
          </w:tcPr>
          <w:p w14:paraId="03DE2BDE"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Table 2 of LAC 33:IX.7303.L</w:t>
            </w:r>
          </w:p>
        </w:tc>
      </w:tr>
      <w:tr w:rsidR="00326E64" w:rsidRPr="00326E64" w14:paraId="5383AB45" w14:textId="77777777" w:rsidTr="00A54079">
        <w:trPr>
          <w:cantSplit/>
          <w:tblHeader/>
        </w:trPr>
        <w:tc>
          <w:tcPr>
            <w:tcW w:w="4817" w:type="dxa"/>
            <w:gridSpan w:val="2"/>
            <w:tcBorders>
              <w:top w:val="single" w:sz="6" w:space="0" w:color="auto"/>
              <w:bottom w:val="single" w:sz="6" w:space="0" w:color="auto"/>
            </w:tcBorders>
            <w:shd w:val="clear" w:color="auto" w:fill="auto"/>
            <w:vAlign w:val="center"/>
          </w:tcPr>
          <w:p w14:paraId="71227F89"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Reporting—Exceptional Quality Biosolids</w:t>
            </w:r>
          </w:p>
        </w:tc>
      </w:tr>
      <w:tr w:rsidR="00326E64" w:rsidRPr="00326E64" w14:paraId="1A128068" w14:textId="77777777" w:rsidTr="00A54079">
        <w:trPr>
          <w:cantSplit/>
          <w:tblHeader/>
        </w:trPr>
        <w:tc>
          <w:tcPr>
            <w:tcW w:w="2931" w:type="dxa"/>
            <w:tcBorders>
              <w:top w:val="single" w:sz="6" w:space="0" w:color="auto"/>
              <w:bottom w:val="single" w:sz="6" w:space="0" w:color="auto"/>
            </w:tcBorders>
            <w:shd w:val="clear" w:color="auto" w:fill="auto"/>
            <w:vAlign w:val="center"/>
          </w:tcPr>
          <w:p w14:paraId="7D4E63AF"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Monitoring Period1</w:t>
            </w:r>
          </w:p>
          <w:p w14:paraId="435326D0"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(Once per Quarter)</w:t>
            </w:r>
          </w:p>
        </w:tc>
        <w:tc>
          <w:tcPr>
            <w:tcW w:w="1886" w:type="dxa"/>
            <w:tcBorders>
              <w:top w:val="single" w:sz="6" w:space="0" w:color="auto"/>
              <w:bottom w:val="single" w:sz="6" w:space="0" w:color="auto"/>
            </w:tcBorders>
            <w:shd w:val="clear" w:color="auto" w:fill="auto"/>
            <w:vAlign w:val="center"/>
          </w:tcPr>
          <w:p w14:paraId="6804C550"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Report Due Date</w:t>
            </w:r>
          </w:p>
        </w:tc>
      </w:tr>
      <w:tr w:rsidR="00326E64" w:rsidRPr="00326E64" w14:paraId="67952D6A" w14:textId="77777777" w:rsidTr="00A54079">
        <w:trPr>
          <w:cantSplit/>
          <w:tblHeader/>
        </w:trPr>
        <w:tc>
          <w:tcPr>
            <w:tcW w:w="2931" w:type="dxa"/>
            <w:tcBorders>
              <w:top w:val="single" w:sz="6" w:space="0" w:color="auto"/>
            </w:tcBorders>
          </w:tcPr>
          <w:p w14:paraId="52D4D04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January, February, March</w:t>
            </w:r>
          </w:p>
        </w:tc>
        <w:tc>
          <w:tcPr>
            <w:tcW w:w="1886" w:type="dxa"/>
            <w:vMerge w:val="restart"/>
            <w:tcBorders>
              <w:top w:val="single" w:sz="6" w:space="0" w:color="auto"/>
            </w:tcBorders>
            <w:vAlign w:val="center"/>
          </w:tcPr>
          <w:p w14:paraId="4947EE7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August 19</w:t>
            </w:r>
          </w:p>
        </w:tc>
      </w:tr>
      <w:tr w:rsidR="00326E64" w:rsidRPr="00326E64" w14:paraId="728F504F" w14:textId="77777777" w:rsidTr="00A54079">
        <w:trPr>
          <w:cantSplit/>
          <w:tblHeader/>
        </w:trPr>
        <w:tc>
          <w:tcPr>
            <w:tcW w:w="2931" w:type="dxa"/>
            <w:tcBorders>
              <w:top w:val="single" w:sz="6" w:space="0" w:color="auto"/>
            </w:tcBorders>
          </w:tcPr>
          <w:p w14:paraId="60FC2CF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April, May, June</w:t>
            </w:r>
          </w:p>
        </w:tc>
        <w:tc>
          <w:tcPr>
            <w:tcW w:w="1886" w:type="dxa"/>
            <w:vMerge/>
          </w:tcPr>
          <w:p w14:paraId="45554044"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77BE47DF" w14:textId="77777777" w:rsidTr="00A54079">
        <w:trPr>
          <w:cantSplit/>
          <w:tblHeader/>
        </w:trPr>
        <w:tc>
          <w:tcPr>
            <w:tcW w:w="2931" w:type="dxa"/>
          </w:tcPr>
          <w:p w14:paraId="7F08DE3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July, August, September</w:t>
            </w:r>
          </w:p>
        </w:tc>
        <w:tc>
          <w:tcPr>
            <w:tcW w:w="1886" w:type="dxa"/>
            <w:vMerge w:val="restart"/>
            <w:vAlign w:val="center"/>
          </w:tcPr>
          <w:p w14:paraId="12418CA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February 19</w:t>
            </w:r>
          </w:p>
        </w:tc>
      </w:tr>
      <w:tr w:rsidR="00326E64" w:rsidRPr="00326E64" w14:paraId="55C9F306" w14:textId="77777777" w:rsidTr="00A54079">
        <w:trPr>
          <w:cantSplit/>
          <w:tblHeader/>
        </w:trPr>
        <w:tc>
          <w:tcPr>
            <w:tcW w:w="2931" w:type="dxa"/>
          </w:tcPr>
          <w:p w14:paraId="59D8285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October, November, December</w:t>
            </w:r>
          </w:p>
        </w:tc>
        <w:tc>
          <w:tcPr>
            <w:tcW w:w="1886" w:type="dxa"/>
            <w:vMerge/>
          </w:tcPr>
          <w:p w14:paraId="5490E5BA"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3E65AFBE" w14:textId="77777777" w:rsidTr="00A54079">
        <w:trPr>
          <w:cantSplit/>
          <w:trHeight w:val="102"/>
          <w:tblHeader/>
        </w:trPr>
        <w:tc>
          <w:tcPr>
            <w:tcW w:w="4817" w:type="dxa"/>
            <w:gridSpan w:val="2"/>
            <w:vAlign w:val="center"/>
          </w:tcPr>
          <w:p w14:paraId="3F7D20F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vertAlign w:val="superscript"/>
              </w:rPr>
              <w:t>1</w:t>
            </w:r>
            <w:r w:rsidRPr="00326E64">
              <w:rPr>
                <w:rFonts w:ascii="Times New Roman" w:eastAsia="Calibri" w:hAnsi="Times New Roman" w:cs="Times New Roman"/>
                <w:strike/>
              </w:rPr>
              <w:t>Separate reports must be submitted for each monitoring period.</w:t>
            </w:r>
          </w:p>
        </w:tc>
      </w:tr>
    </w:tbl>
    <w:p w14:paraId="5E13DEF8" w14:textId="77777777" w:rsidR="00326E64" w:rsidRPr="00326E64" w:rsidRDefault="00326E64" w:rsidP="00326E64">
      <w:pPr>
        <w:spacing w:line="480" w:lineRule="auto"/>
        <w:rPr>
          <w:rFonts w:ascii="Times New Roman" w:eastAsia="Calibri" w:hAnsi="Times New Roman" w:cs="Times New Roman"/>
          <w:strike/>
        </w:rPr>
      </w:pPr>
    </w:p>
    <w:p w14:paraId="3B5DACD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For facilities having a frequency of monitoring in Table 1 of LAC 33:IX.7303.L of once per month (12 times per year), the reporting periods and the report due dates shall be as specified in Table 3 of LAC 33:IX.7303.L.</w:t>
      </w:r>
    </w:p>
    <w:tbl>
      <w:tblPr>
        <w:tblW w:w="0" w:type="auto"/>
        <w:tblInd w:w="2857"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ook w:val="0000" w:firstRow="0" w:lastRow="0" w:firstColumn="0" w:lastColumn="0" w:noHBand="0" w:noVBand="0"/>
      </w:tblPr>
      <w:tblGrid>
        <w:gridCol w:w="2931"/>
        <w:gridCol w:w="1886"/>
      </w:tblGrid>
      <w:tr w:rsidR="00326E64" w:rsidRPr="00326E64" w14:paraId="59DF8E43" w14:textId="77777777" w:rsidTr="00A54079">
        <w:trPr>
          <w:cantSplit/>
          <w:tblHeader/>
        </w:trPr>
        <w:tc>
          <w:tcPr>
            <w:tcW w:w="4817" w:type="dxa"/>
            <w:gridSpan w:val="2"/>
            <w:tcBorders>
              <w:top w:val="double" w:sz="6" w:space="0" w:color="auto"/>
              <w:bottom w:val="single" w:sz="6" w:space="0" w:color="auto"/>
            </w:tcBorders>
            <w:shd w:val="clear" w:color="auto" w:fill="auto"/>
            <w:vAlign w:val="center"/>
          </w:tcPr>
          <w:p w14:paraId="13BD2275"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lastRenderedPageBreak/>
              <w:t>Table 3 of LAC 33:IX.7303.L</w:t>
            </w:r>
          </w:p>
        </w:tc>
      </w:tr>
      <w:tr w:rsidR="00326E64" w:rsidRPr="00326E64" w14:paraId="670C0335" w14:textId="77777777" w:rsidTr="00A54079">
        <w:trPr>
          <w:cantSplit/>
          <w:tblHeader/>
        </w:trPr>
        <w:tc>
          <w:tcPr>
            <w:tcW w:w="4817" w:type="dxa"/>
            <w:gridSpan w:val="2"/>
            <w:tcBorders>
              <w:top w:val="single" w:sz="6" w:space="0" w:color="auto"/>
              <w:bottom w:val="single" w:sz="6" w:space="0" w:color="auto"/>
            </w:tcBorders>
            <w:shd w:val="clear" w:color="auto" w:fill="auto"/>
            <w:vAlign w:val="center"/>
          </w:tcPr>
          <w:p w14:paraId="70617D2C"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Reporting—Exceptional Quality Biosolids</w:t>
            </w:r>
          </w:p>
        </w:tc>
      </w:tr>
      <w:tr w:rsidR="00326E64" w:rsidRPr="00326E64" w14:paraId="0D2AEE42" w14:textId="77777777" w:rsidTr="00A54079">
        <w:trPr>
          <w:cantSplit/>
          <w:tblHeader/>
        </w:trPr>
        <w:tc>
          <w:tcPr>
            <w:tcW w:w="2931" w:type="dxa"/>
            <w:tcBorders>
              <w:top w:val="single" w:sz="6" w:space="0" w:color="auto"/>
              <w:bottom w:val="single" w:sz="6" w:space="0" w:color="auto"/>
              <w:right w:val="single" w:sz="6" w:space="0" w:color="auto"/>
            </w:tcBorders>
            <w:shd w:val="clear" w:color="auto" w:fill="auto"/>
            <w:vAlign w:val="center"/>
          </w:tcPr>
          <w:p w14:paraId="52E3FCC4"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Monitoring Period1</w:t>
            </w:r>
          </w:p>
          <w:p w14:paraId="0F64D65B"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(Once per Month)</w:t>
            </w:r>
          </w:p>
        </w:tc>
        <w:tc>
          <w:tcPr>
            <w:tcW w:w="1886" w:type="dxa"/>
            <w:tcBorders>
              <w:top w:val="single" w:sz="6" w:space="0" w:color="auto"/>
              <w:left w:val="single" w:sz="6" w:space="0" w:color="auto"/>
              <w:bottom w:val="single" w:sz="6" w:space="0" w:color="auto"/>
            </w:tcBorders>
            <w:shd w:val="clear" w:color="auto" w:fill="auto"/>
            <w:vAlign w:val="center"/>
          </w:tcPr>
          <w:p w14:paraId="2A800ACC"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Report Due Date</w:t>
            </w:r>
          </w:p>
        </w:tc>
      </w:tr>
      <w:tr w:rsidR="00326E64" w:rsidRPr="00326E64" w14:paraId="2B1AD394" w14:textId="77777777" w:rsidTr="00A54079">
        <w:trPr>
          <w:cantSplit/>
        </w:trPr>
        <w:tc>
          <w:tcPr>
            <w:tcW w:w="2931" w:type="dxa"/>
            <w:tcBorders>
              <w:top w:val="single" w:sz="6" w:space="0" w:color="auto"/>
              <w:bottom w:val="single" w:sz="6" w:space="0" w:color="auto"/>
              <w:right w:val="single" w:sz="6" w:space="0" w:color="auto"/>
            </w:tcBorders>
          </w:tcPr>
          <w:p w14:paraId="43030BA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January</w:t>
            </w:r>
          </w:p>
        </w:tc>
        <w:tc>
          <w:tcPr>
            <w:tcW w:w="1886" w:type="dxa"/>
            <w:vMerge w:val="restart"/>
            <w:tcBorders>
              <w:top w:val="single" w:sz="6" w:space="0" w:color="auto"/>
              <w:left w:val="single" w:sz="6" w:space="0" w:color="auto"/>
              <w:bottom w:val="single" w:sz="6" w:space="0" w:color="auto"/>
            </w:tcBorders>
            <w:vAlign w:val="center"/>
          </w:tcPr>
          <w:p w14:paraId="66E2EFE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May 19</w:t>
            </w:r>
          </w:p>
        </w:tc>
      </w:tr>
      <w:tr w:rsidR="00326E64" w:rsidRPr="00326E64" w14:paraId="745253A3" w14:textId="77777777" w:rsidTr="00A54079">
        <w:trPr>
          <w:cantSplit/>
        </w:trPr>
        <w:tc>
          <w:tcPr>
            <w:tcW w:w="2931" w:type="dxa"/>
            <w:tcBorders>
              <w:top w:val="single" w:sz="6" w:space="0" w:color="auto"/>
              <w:bottom w:val="single" w:sz="6" w:space="0" w:color="auto"/>
              <w:right w:val="single" w:sz="6" w:space="0" w:color="auto"/>
            </w:tcBorders>
          </w:tcPr>
          <w:p w14:paraId="3F339A0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February</w:t>
            </w:r>
          </w:p>
        </w:tc>
        <w:tc>
          <w:tcPr>
            <w:tcW w:w="1886" w:type="dxa"/>
            <w:vMerge/>
            <w:tcBorders>
              <w:top w:val="single" w:sz="6" w:space="0" w:color="auto"/>
              <w:left w:val="single" w:sz="6" w:space="0" w:color="auto"/>
              <w:bottom w:val="single" w:sz="6" w:space="0" w:color="auto"/>
            </w:tcBorders>
            <w:vAlign w:val="center"/>
          </w:tcPr>
          <w:p w14:paraId="39A7C58C"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16F16F1A" w14:textId="77777777" w:rsidTr="00A54079">
        <w:trPr>
          <w:cantSplit/>
        </w:trPr>
        <w:tc>
          <w:tcPr>
            <w:tcW w:w="2931" w:type="dxa"/>
            <w:tcBorders>
              <w:top w:val="single" w:sz="6" w:space="0" w:color="auto"/>
              <w:bottom w:val="single" w:sz="6" w:space="0" w:color="auto"/>
              <w:right w:val="single" w:sz="6" w:space="0" w:color="auto"/>
            </w:tcBorders>
          </w:tcPr>
          <w:p w14:paraId="155F94D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March</w:t>
            </w:r>
          </w:p>
        </w:tc>
        <w:tc>
          <w:tcPr>
            <w:tcW w:w="1886" w:type="dxa"/>
            <w:vMerge/>
            <w:tcBorders>
              <w:top w:val="single" w:sz="6" w:space="0" w:color="auto"/>
              <w:left w:val="single" w:sz="6" w:space="0" w:color="auto"/>
              <w:bottom w:val="single" w:sz="6" w:space="0" w:color="auto"/>
            </w:tcBorders>
            <w:vAlign w:val="center"/>
          </w:tcPr>
          <w:p w14:paraId="0EDEDDD8"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1C9758E0" w14:textId="77777777" w:rsidTr="00A54079">
        <w:trPr>
          <w:cantSplit/>
        </w:trPr>
        <w:tc>
          <w:tcPr>
            <w:tcW w:w="2931" w:type="dxa"/>
            <w:tcBorders>
              <w:top w:val="single" w:sz="6" w:space="0" w:color="auto"/>
              <w:bottom w:val="single" w:sz="6" w:space="0" w:color="auto"/>
              <w:right w:val="single" w:sz="6" w:space="0" w:color="auto"/>
            </w:tcBorders>
          </w:tcPr>
          <w:p w14:paraId="474004C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April</w:t>
            </w:r>
          </w:p>
        </w:tc>
        <w:tc>
          <w:tcPr>
            <w:tcW w:w="1886" w:type="dxa"/>
            <w:vMerge w:val="restart"/>
            <w:tcBorders>
              <w:top w:val="single" w:sz="6" w:space="0" w:color="auto"/>
              <w:left w:val="single" w:sz="6" w:space="0" w:color="auto"/>
              <w:bottom w:val="single" w:sz="6" w:space="0" w:color="auto"/>
            </w:tcBorders>
            <w:vAlign w:val="center"/>
          </w:tcPr>
          <w:p w14:paraId="7E04E37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August 19</w:t>
            </w:r>
          </w:p>
        </w:tc>
      </w:tr>
      <w:tr w:rsidR="00326E64" w:rsidRPr="00326E64" w14:paraId="5E17DD51" w14:textId="77777777" w:rsidTr="00A54079">
        <w:trPr>
          <w:cantSplit/>
        </w:trPr>
        <w:tc>
          <w:tcPr>
            <w:tcW w:w="2931" w:type="dxa"/>
            <w:tcBorders>
              <w:top w:val="single" w:sz="6" w:space="0" w:color="auto"/>
              <w:bottom w:val="single" w:sz="6" w:space="0" w:color="auto"/>
              <w:right w:val="single" w:sz="6" w:space="0" w:color="auto"/>
            </w:tcBorders>
          </w:tcPr>
          <w:p w14:paraId="75393A9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May</w:t>
            </w:r>
          </w:p>
        </w:tc>
        <w:tc>
          <w:tcPr>
            <w:tcW w:w="1886" w:type="dxa"/>
            <w:vMerge/>
            <w:tcBorders>
              <w:top w:val="single" w:sz="6" w:space="0" w:color="auto"/>
              <w:left w:val="single" w:sz="6" w:space="0" w:color="auto"/>
              <w:bottom w:val="single" w:sz="6" w:space="0" w:color="auto"/>
            </w:tcBorders>
            <w:vAlign w:val="center"/>
          </w:tcPr>
          <w:p w14:paraId="2F8A0CC0"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26398BA2" w14:textId="77777777" w:rsidTr="00A54079">
        <w:trPr>
          <w:cantSplit/>
        </w:trPr>
        <w:tc>
          <w:tcPr>
            <w:tcW w:w="2931" w:type="dxa"/>
            <w:tcBorders>
              <w:top w:val="single" w:sz="6" w:space="0" w:color="auto"/>
              <w:bottom w:val="single" w:sz="6" w:space="0" w:color="auto"/>
              <w:right w:val="single" w:sz="6" w:space="0" w:color="auto"/>
            </w:tcBorders>
          </w:tcPr>
          <w:p w14:paraId="549255C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June</w:t>
            </w:r>
          </w:p>
        </w:tc>
        <w:tc>
          <w:tcPr>
            <w:tcW w:w="1886" w:type="dxa"/>
            <w:vMerge/>
            <w:tcBorders>
              <w:top w:val="single" w:sz="6" w:space="0" w:color="auto"/>
              <w:left w:val="single" w:sz="6" w:space="0" w:color="auto"/>
              <w:bottom w:val="single" w:sz="6" w:space="0" w:color="auto"/>
            </w:tcBorders>
            <w:vAlign w:val="center"/>
          </w:tcPr>
          <w:p w14:paraId="0CF1759C"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25490B98" w14:textId="77777777" w:rsidTr="00A54079">
        <w:trPr>
          <w:cantSplit/>
        </w:trPr>
        <w:tc>
          <w:tcPr>
            <w:tcW w:w="2931" w:type="dxa"/>
            <w:tcBorders>
              <w:top w:val="single" w:sz="6" w:space="0" w:color="auto"/>
              <w:bottom w:val="single" w:sz="6" w:space="0" w:color="auto"/>
              <w:right w:val="single" w:sz="6" w:space="0" w:color="auto"/>
            </w:tcBorders>
          </w:tcPr>
          <w:p w14:paraId="08AE94E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July</w:t>
            </w:r>
          </w:p>
        </w:tc>
        <w:tc>
          <w:tcPr>
            <w:tcW w:w="1886" w:type="dxa"/>
            <w:vMerge w:val="restart"/>
            <w:tcBorders>
              <w:top w:val="single" w:sz="6" w:space="0" w:color="auto"/>
              <w:left w:val="single" w:sz="6" w:space="0" w:color="auto"/>
              <w:bottom w:val="single" w:sz="6" w:space="0" w:color="auto"/>
            </w:tcBorders>
            <w:vAlign w:val="center"/>
          </w:tcPr>
          <w:p w14:paraId="2C932D9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November 19</w:t>
            </w:r>
          </w:p>
        </w:tc>
      </w:tr>
      <w:tr w:rsidR="00326E64" w:rsidRPr="00326E64" w14:paraId="6614256A" w14:textId="77777777" w:rsidTr="00A54079">
        <w:trPr>
          <w:cantSplit/>
        </w:trPr>
        <w:tc>
          <w:tcPr>
            <w:tcW w:w="2931" w:type="dxa"/>
            <w:tcBorders>
              <w:top w:val="single" w:sz="6" w:space="0" w:color="auto"/>
              <w:bottom w:val="single" w:sz="6" w:space="0" w:color="auto"/>
              <w:right w:val="single" w:sz="6" w:space="0" w:color="auto"/>
            </w:tcBorders>
          </w:tcPr>
          <w:p w14:paraId="7E4E84D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August</w:t>
            </w:r>
          </w:p>
        </w:tc>
        <w:tc>
          <w:tcPr>
            <w:tcW w:w="1886" w:type="dxa"/>
            <w:vMerge/>
            <w:tcBorders>
              <w:top w:val="single" w:sz="6" w:space="0" w:color="auto"/>
              <w:left w:val="single" w:sz="6" w:space="0" w:color="auto"/>
              <w:bottom w:val="single" w:sz="6" w:space="0" w:color="auto"/>
            </w:tcBorders>
            <w:vAlign w:val="center"/>
          </w:tcPr>
          <w:p w14:paraId="254BC011"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7D2E980D" w14:textId="77777777" w:rsidTr="00A54079">
        <w:trPr>
          <w:cantSplit/>
        </w:trPr>
        <w:tc>
          <w:tcPr>
            <w:tcW w:w="2931" w:type="dxa"/>
            <w:tcBorders>
              <w:top w:val="single" w:sz="6" w:space="0" w:color="auto"/>
              <w:bottom w:val="single" w:sz="6" w:space="0" w:color="auto"/>
              <w:right w:val="single" w:sz="6" w:space="0" w:color="auto"/>
            </w:tcBorders>
          </w:tcPr>
          <w:p w14:paraId="2DEC3A2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September</w:t>
            </w:r>
          </w:p>
        </w:tc>
        <w:tc>
          <w:tcPr>
            <w:tcW w:w="1886" w:type="dxa"/>
            <w:vMerge/>
            <w:tcBorders>
              <w:top w:val="single" w:sz="6" w:space="0" w:color="auto"/>
              <w:left w:val="single" w:sz="6" w:space="0" w:color="auto"/>
              <w:bottom w:val="single" w:sz="6" w:space="0" w:color="auto"/>
            </w:tcBorders>
            <w:vAlign w:val="center"/>
          </w:tcPr>
          <w:p w14:paraId="5A800AE3"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1A1EDD59" w14:textId="77777777" w:rsidTr="00A54079">
        <w:trPr>
          <w:cantSplit/>
        </w:trPr>
        <w:tc>
          <w:tcPr>
            <w:tcW w:w="2931" w:type="dxa"/>
            <w:tcBorders>
              <w:top w:val="single" w:sz="6" w:space="0" w:color="auto"/>
              <w:bottom w:val="single" w:sz="6" w:space="0" w:color="auto"/>
              <w:right w:val="single" w:sz="6" w:space="0" w:color="auto"/>
            </w:tcBorders>
          </w:tcPr>
          <w:p w14:paraId="7F8C390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October</w:t>
            </w:r>
          </w:p>
        </w:tc>
        <w:tc>
          <w:tcPr>
            <w:tcW w:w="1886" w:type="dxa"/>
            <w:vMerge w:val="restart"/>
            <w:tcBorders>
              <w:top w:val="single" w:sz="6" w:space="0" w:color="auto"/>
              <w:left w:val="single" w:sz="6" w:space="0" w:color="auto"/>
              <w:bottom w:val="single" w:sz="6" w:space="0" w:color="auto"/>
            </w:tcBorders>
            <w:vAlign w:val="center"/>
          </w:tcPr>
          <w:p w14:paraId="4173FF8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February 19</w:t>
            </w:r>
          </w:p>
        </w:tc>
      </w:tr>
      <w:tr w:rsidR="00326E64" w:rsidRPr="00326E64" w14:paraId="70C20865" w14:textId="77777777" w:rsidTr="00A54079">
        <w:trPr>
          <w:cantSplit/>
        </w:trPr>
        <w:tc>
          <w:tcPr>
            <w:tcW w:w="2931" w:type="dxa"/>
            <w:tcBorders>
              <w:top w:val="single" w:sz="6" w:space="0" w:color="auto"/>
              <w:bottom w:val="single" w:sz="6" w:space="0" w:color="auto"/>
              <w:right w:val="single" w:sz="6" w:space="0" w:color="auto"/>
            </w:tcBorders>
          </w:tcPr>
          <w:p w14:paraId="2D1E6A1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November</w:t>
            </w:r>
          </w:p>
        </w:tc>
        <w:tc>
          <w:tcPr>
            <w:tcW w:w="1886" w:type="dxa"/>
            <w:vMerge/>
            <w:tcBorders>
              <w:top w:val="single" w:sz="6" w:space="0" w:color="auto"/>
              <w:left w:val="single" w:sz="6" w:space="0" w:color="auto"/>
              <w:bottom w:val="single" w:sz="6" w:space="0" w:color="auto"/>
            </w:tcBorders>
          </w:tcPr>
          <w:p w14:paraId="02D998A8"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369E62D8" w14:textId="77777777" w:rsidTr="00A54079">
        <w:trPr>
          <w:cantSplit/>
        </w:trPr>
        <w:tc>
          <w:tcPr>
            <w:tcW w:w="2931" w:type="dxa"/>
            <w:tcBorders>
              <w:top w:val="single" w:sz="6" w:space="0" w:color="auto"/>
              <w:bottom w:val="single" w:sz="6" w:space="0" w:color="auto"/>
              <w:right w:val="single" w:sz="6" w:space="0" w:color="auto"/>
            </w:tcBorders>
          </w:tcPr>
          <w:p w14:paraId="5EC900B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December</w:t>
            </w:r>
          </w:p>
        </w:tc>
        <w:tc>
          <w:tcPr>
            <w:tcW w:w="1886" w:type="dxa"/>
            <w:vMerge/>
            <w:tcBorders>
              <w:top w:val="single" w:sz="6" w:space="0" w:color="auto"/>
              <w:left w:val="single" w:sz="6" w:space="0" w:color="auto"/>
              <w:bottom w:val="single" w:sz="6" w:space="0" w:color="auto"/>
            </w:tcBorders>
          </w:tcPr>
          <w:p w14:paraId="602CED74" w14:textId="77777777" w:rsidR="00326E64" w:rsidRPr="00326E64" w:rsidRDefault="00326E64" w:rsidP="00326E64">
            <w:pPr>
              <w:spacing w:line="480" w:lineRule="auto"/>
              <w:rPr>
                <w:rFonts w:ascii="Times New Roman" w:eastAsia="Calibri" w:hAnsi="Times New Roman" w:cs="Times New Roman"/>
                <w:strike/>
              </w:rPr>
            </w:pPr>
          </w:p>
        </w:tc>
      </w:tr>
      <w:tr w:rsidR="00326E64" w:rsidRPr="00326E64" w14:paraId="1C0A1AB9" w14:textId="77777777" w:rsidTr="00A54079">
        <w:trPr>
          <w:cantSplit/>
        </w:trPr>
        <w:tc>
          <w:tcPr>
            <w:tcW w:w="4817" w:type="dxa"/>
            <w:gridSpan w:val="2"/>
            <w:tcBorders>
              <w:top w:val="single" w:sz="6" w:space="0" w:color="auto"/>
              <w:bottom w:val="double" w:sz="6" w:space="0" w:color="auto"/>
            </w:tcBorders>
          </w:tcPr>
          <w:p w14:paraId="7542BAE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vertAlign w:val="superscript"/>
              </w:rPr>
              <w:t>1</w:t>
            </w:r>
            <w:r w:rsidRPr="00326E64">
              <w:rPr>
                <w:rFonts w:ascii="Times New Roman" w:eastAsia="Calibri" w:hAnsi="Times New Roman" w:cs="Times New Roman"/>
                <w:strike/>
              </w:rPr>
              <w:t>Separate reports must be submitted for each monitoring period.</w:t>
            </w:r>
          </w:p>
        </w:tc>
      </w:tr>
    </w:tbl>
    <w:p w14:paraId="4AAFF22A" w14:textId="77777777" w:rsidR="00326E64" w:rsidRPr="00326E64" w:rsidRDefault="00326E64" w:rsidP="00326E64">
      <w:pPr>
        <w:spacing w:line="480" w:lineRule="auto"/>
        <w:rPr>
          <w:rFonts w:ascii="Times New Roman" w:eastAsia="Calibri" w:hAnsi="Times New Roman" w:cs="Times New Roman"/>
          <w:strike/>
        </w:rPr>
      </w:pPr>
    </w:p>
    <w:p w14:paraId="5AEA0F9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M.</w:t>
      </w:r>
      <w:r w:rsidRPr="00326E64">
        <w:rPr>
          <w:rFonts w:ascii="Times New Roman" w:eastAsia="Calibri" w:hAnsi="Times New Roman" w:cs="Times New Roman"/>
          <w:strike/>
        </w:rPr>
        <w:tab/>
        <w:t>Any person subject to these regulations who prepares sewage sludge may petition the administrative authority to allow the land application of sewage sludge that is mixed with grease that was pumped or removed from a food service facility.</w:t>
      </w:r>
    </w:p>
    <w:p w14:paraId="606622D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The administrative authority may grant temporary approval, for a period not to exceed one year, for the land application of sewage sludge that is mixed with grease that was pumped or removed from a food service facility, along with the appropriate monitoring, sampling and analysis, recordkeeping, and reporting requirements, when petitions for such are deemed appropriate after consideration of the factors enumerated in Paragraph M.2 of this Section as well as any other pertinent factors.</w:t>
      </w:r>
    </w:p>
    <w:p w14:paraId="4953C1B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Each petition for the allowance of land application of sewage sludge that is mixed with grease that was pumped or removed from a food service facility shall:</w:t>
      </w:r>
    </w:p>
    <w:p w14:paraId="2D3C408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be submitted in writing to the administrative authority;</w:t>
      </w:r>
    </w:p>
    <w:p w14:paraId="7B8394B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be accompanied by evidence of public notice in the state journal and in the local journal; and</w:t>
      </w:r>
    </w:p>
    <w:p w14:paraId="01EC1F8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contain the following information:</w:t>
      </w:r>
    </w:p>
    <w:p w14:paraId="5A8112D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documentation to prove that the preparation or treatment process will be the composting process to further reduce pathogens described in LAC 33:IX.7399.Appendix L;</w:t>
      </w:r>
    </w:p>
    <w:p w14:paraId="24BCBBC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documentation to prove that the facility owner/operator has successfully completed a department-approved composting facility operator training course; and</w:t>
      </w:r>
    </w:p>
    <w:p w14:paraId="777D249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documentation to satisfy the requirements in Subsection L of this Section and LAC 33:IX.7305 and 7307.</w:t>
      </w:r>
    </w:p>
    <w:p w14:paraId="16F2EBB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3.</w:t>
      </w:r>
      <w:r w:rsidRPr="00326E64">
        <w:rPr>
          <w:rFonts w:ascii="Times New Roman" w:eastAsia="Calibri" w:hAnsi="Times New Roman" w:cs="Times New Roman"/>
          <w:strike/>
        </w:rPr>
        <w:tab/>
        <w:t xml:space="preserve">If the owner/operator wishes to continue operation of the compost facility, he or she shall submit to the administrative authority a completed sewage sludge and biosolids use or disposal permit application form at least 180 days prior to the expiration date of the approval. The decision to grant or deny a permit for continuation of the compost operation shall </w:t>
      </w:r>
      <w:r w:rsidRPr="00326E64">
        <w:rPr>
          <w:rFonts w:ascii="Times New Roman" w:eastAsia="Calibri" w:hAnsi="Times New Roman" w:cs="Times New Roman"/>
          <w:strike/>
        </w:rPr>
        <w:lastRenderedPageBreak/>
        <w:t>be based on the information provided in the permit application, the monitoring and sampling and analysis results submitted during the one-year approval period, and any comments or other information received during the standard permit public notice period.</w:t>
      </w:r>
    </w:p>
    <w:p w14:paraId="00497A0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N.</w:t>
      </w:r>
      <w:r w:rsidRPr="00326E64">
        <w:rPr>
          <w:rFonts w:ascii="Times New Roman" w:eastAsia="Calibri" w:hAnsi="Times New Roman" w:cs="Times New Roman"/>
          <w:strike/>
        </w:rPr>
        <w:tab/>
        <w:t>Procedure for the Addition or Removal of Land Application Sites</w:t>
      </w:r>
    </w:p>
    <w:p w14:paraId="1DDA973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If a person who possesses a sewage sludge and biosolids use or disposal permit wishes to add a land application site or sites to the permit, the person shall submit a request package to the administrative authority at least 180 days prior to the anticipated date by which authorization is needed containing the following information:</w:t>
      </w:r>
    </w:p>
    <w:p w14:paraId="65E7CF7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evidence of notification of the landowners bordering the proposed land application site or sites. The notification shall be in the form of a public notice placed in the local newspaper being circulated in the area of the proposed site or sites, certified letters of notification that were either hand delivered or mailed to the landowners bordering the proposed site or sites, or signed agreements of the landowners bordering the proposed site or sites to application of biosolids to the site or sites;</w:t>
      </w:r>
    </w:p>
    <w:p w14:paraId="090E7F6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signed agreement(s) to the application of biosolids from the landowner(s) of the proposed site or sites; and</w:t>
      </w:r>
    </w:p>
    <w:p w14:paraId="0C39E88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a completed sewage sludge and biosolids use or disposal permit application form.</w:t>
      </w:r>
    </w:p>
    <w:p w14:paraId="249A950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If a person who possesses a sewage sludge and biosolids use or disposal permit wishes to remove a land application site or sites from the permit, the person shall submit a request package to the administrative authority at least 90 days prior to the removal of the site or sites containing the following information:</w:t>
      </w:r>
    </w:p>
    <w:p w14:paraId="59531AE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aerial photographs showing the location of the land application site or sites that are being proposed to be removed;</w:t>
      </w:r>
    </w:p>
    <w:p w14:paraId="643C246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certification that all biosolids that were stored at the site or sites have either been land applied in accordance with the permit requirements or totally removed and used at another site in accordance with the permit requirements or removed and disposed at a permitted landfill; and</w:t>
      </w:r>
    </w:p>
    <w:p w14:paraId="724E43E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signed agreements from the landowner(s) of the site or sites for the site or sites to be removed from the land application of biosolids.</w:t>
      </w:r>
    </w:p>
    <w:p w14:paraId="3F8F309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3.</w:t>
      </w:r>
      <w:r w:rsidRPr="00326E64">
        <w:rPr>
          <w:rFonts w:ascii="Times New Roman" w:eastAsia="Calibri" w:hAnsi="Times New Roman" w:cs="Times New Roman"/>
          <w:strike/>
        </w:rPr>
        <w:tab/>
        <w:t>After receipt and review of the request package required in Paragraph N.1 of this Section for the addition of a land application site or sites or the request package required in Paragraph N.2 of this Section for the removal of a land application site or sites, a decision shall be rendered by the administrative authority regarding the request.</w:t>
      </w:r>
    </w:p>
    <w:p w14:paraId="7347AB2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Preparation of Class B Biosolids</w:t>
      </w:r>
    </w:p>
    <w:p w14:paraId="1F7DEE0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1.</w:t>
      </w:r>
      <w:r w:rsidRPr="00326E64">
        <w:rPr>
          <w:rFonts w:ascii="Times New Roman" w:eastAsia="Calibri" w:hAnsi="Times New Roman" w:cs="Times New Roman"/>
          <w:u w:val="single"/>
        </w:rPr>
        <w:tab/>
        <w:t>Requirements for Preparation of Class B Biosolids</w:t>
      </w:r>
    </w:p>
    <w:p w14:paraId="3D20798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Any person who receives sewage sludge for the purpose of preparing Class B Biosolids shall obtain the following information:</w:t>
      </w:r>
    </w:p>
    <w:p w14:paraId="21E1F4E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 xml:space="preserve"> </w:t>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name, mailing address, and location of the facility or facilities providing the sewage sludge;</w:t>
      </w:r>
    </w:p>
    <w:p w14:paraId="747BF2E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the total dry metric tons being provided; and</w:t>
      </w:r>
    </w:p>
    <w:p w14:paraId="5221F38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a description of any treatment processes occurring at the providing facility or facilities, including blending, composting, or mixing activities and the treatment to reduce pathogens and/or vector attraction reduction.</w:t>
      </w:r>
    </w:p>
    <w:p w14:paraId="7B88BF6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2.</w:t>
      </w:r>
      <w:r w:rsidRPr="00326E64">
        <w:rPr>
          <w:rFonts w:ascii="Times New Roman" w:eastAsia="Calibri" w:hAnsi="Times New Roman" w:cs="Times New Roman"/>
          <w:u w:val="single"/>
        </w:rPr>
        <w:tab/>
        <w:t>Pollutant Limits</w:t>
      </w:r>
    </w:p>
    <w:p w14:paraId="4823130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Class B Biosolids</w:t>
      </w:r>
    </w:p>
    <w:p w14:paraId="049DDA4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Shall not be applied to the land if the concentration of any pollutant in the biosolids exceeds the ceiling concentration for the pollutant in Table 1 of LAC 33:IX.7303.F.</w:t>
      </w:r>
    </w:p>
    <w:p w14:paraId="36CB640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Class B Biosolids, which are to be applied to agricultural land, forest, a public contact site, or a reclamation site shall meet the following:</w:t>
      </w:r>
    </w:p>
    <w:p w14:paraId="33C94E0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cumulative loading rate for each pollutant in the biosolids shall not exceed the cumulative pollutant loading rate for the pollutant in Table 2 of LAC 33:IX.7303.F; or</w:t>
      </w:r>
    </w:p>
    <w:p w14:paraId="4CC2B16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the concentration of each pollutant in the biosolids shall not exceed the concentration for the pollutant in Table 3 of LAC 33:IX.7303.F.</w:t>
      </w:r>
    </w:p>
    <w:p w14:paraId="641C1D2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The administrative authority may require that the Class B biosolids meet more stringent pollutant limits, or limits for additional pollutants, than those listed in Tables 1-3 of LAC 33:IX.7303.F on a case-by-case basis after determining that the more stringent pollutant limits or limits for additional pollutants are needed to protect human health and the environment from any reasonably anticipated adverse effect that may occur from the application of the biosolids to the land.</w:t>
      </w:r>
    </w:p>
    <w:p w14:paraId="259804A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3.</w:t>
      </w:r>
      <w:r w:rsidRPr="00326E64">
        <w:rPr>
          <w:rFonts w:ascii="Times New Roman" w:eastAsia="Calibri" w:hAnsi="Times New Roman" w:cs="Times New Roman"/>
          <w:u w:val="single"/>
        </w:rPr>
        <w:tab/>
        <w:t>Other Requirements for Class B Biosolids</w:t>
      </w:r>
    </w:p>
    <w:p w14:paraId="53F6D16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person who prepares Class B biosolids to be applied to agricultural land, forest, a public contact site, or a reclamation site shall provide the person who applies the Class B biosolids with written notification of the concentration, on a dry weight basis, of total nitrogen, ammonia (as N), nitrates, potassium, and phosphorus in the Class B biosolids.</w:t>
      </w:r>
    </w:p>
    <w:p w14:paraId="3ECB733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The Class B biosolids preparer shall provide the Class B biosolids land applier with notice and necessary information to comply with the requirements in this Chapter.</w:t>
      </w:r>
    </w:p>
    <w:p w14:paraId="1E10044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4.</w:t>
      </w:r>
      <w:r w:rsidRPr="00326E64">
        <w:rPr>
          <w:rFonts w:ascii="Times New Roman" w:eastAsia="Calibri" w:hAnsi="Times New Roman" w:cs="Times New Roman"/>
          <w:u w:val="single"/>
        </w:rPr>
        <w:tab/>
        <w:t>Operational Standards―Pathogens and Vector Attraction Reduction</w:t>
      </w:r>
    </w:p>
    <w:p w14:paraId="67812F4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Pathogens</w:t>
      </w:r>
    </w:p>
    <w:p w14:paraId="62005B1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Class B biosolids pathogen requirements and site restrictions in LAC 33:IX.7309.C.2 shall be met when bulk biosolids are applied to agricultural land, forest, a public contact site, or a reclamation site.</w:t>
      </w:r>
    </w:p>
    <w:p w14:paraId="42B34B1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Vector Attraction Reduction</w:t>
      </w:r>
    </w:p>
    <w:p w14:paraId="73545AA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One of the vector attraction reduction requirements in LAC 33:IX.7309.E.2.a-g shall be met when bulk biosolids are applied to agricultural land, forest, a public contact site, or a reclamation site.</w:t>
      </w:r>
    </w:p>
    <w:p w14:paraId="062622A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One of the vector attraction reduction requirements in LAC 33:IX.7309.E.2.a-e shall be met when biosolids are sold or given away in a bag or other container for application to the land.</w:t>
      </w:r>
    </w:p>
    <w:p w14:paraId="000BB82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5.</w:t>
      </w:r>
      <w:r w:rsidRPr="00326E64">
        <w:rPr>
          <w:rFonts w:ascii="Times New Roman" w:eastAsia="Calibri" w:hAnsi="Times New Roman" w:cs="Times New Roman"/>
          <w:u w:val="single"/>
        </w:rPr>
        <w:tab/>
        <w:t>Frequency of Monitoring</w:t>
      </w:r>
    </w:p>
    <w:p w14:paraId="5CA3BFED"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frequency of monitoring for the pollutants listed in Tables 1-3 of LAC 33:IX.7303.F; the frequency of monitoring for pathogen density requirements in LAC 33:IX.7309.C.2; and the frequency of monitoring for vector attraction reduction requirements in LAC 33:IX.7309.E.2.a-e shall be at the frequency specified in Table 5 of LAC 33:IX.7303.F.</w:t>
      </w:r>
    </w:p>
    <w:p w14:paraId="1106BD3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 xml:space="preserve">After the biosolids have been monitored for two years at the frequency in Table 5 of LAC 33:IX.7303.F the administrative authority may reduce the </w:t>
      </w:r>
      <w:r w:rsidRPr="00326E64">
        <w:rPr>
          <w:rFonts w:ascii="Times New Roman" w:eastAsia="Calibri" w:hAnsi="Times New Roman" w:cs="Times New Roman"/>
          <w:u w:val="single"/>
        </w:rPr>
        <w:lastRenderedPageBreak/>
        <w:t>frequency of monitoring for pollutant concentrations. This reduction in monitoring frequency may be requested after two years of continuous permit compliance.</w:t>
      </w:r>
    </w:p>
    <w:p w14:paraId="4A94DCF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6.</w:t>
      </w:r>
      <w:r w:rsidRPr="00326E64">
        <w:rPr>
          <w:rFonts w:ascii="Times New Roman" w:eastAsia="Calibri" w:hAnsi="Times New Roman" w:cs="Times New Roman"/>
          <w:u w:val="single"/>
        </w:rPr>
        <w:tab/>
        <w:t>Recordkeeping</w:t>
      </w:r>
    </w:p>
    <w:p w14:paraId="4BEDB33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 xml:space="preserve">All </w:t>
      </w:r>
      <w:r w:rsidRPr="00326E64">
        <w:rPr>
          <w:rFonts w:ascii="Times New Roman" w:eastAsia="Calibri" w:hAnsi="Times New Roman" w:cs="Times New Roman"/>
          <w:i/>
          <w:u w:val="single"/>
        </w:rPr>
        <w:t>Class I sludge management facilities</w:t>
      </w:r>
      <w:r w:rsidRPr="00326E64">
        <w:rPr>
          <w:rFonts w:ascii="Times New Roman" w:eastAsia="Calibri" w:hAnsi="Times New Roman" w:cs="Times New Roman"/>
          <w:u w:val="single"/>
        </w:rPr>
        <w:t>, as defined in LAC 33:IX.7301.B, that prepare Class B biosolids shall keep a record of the following for a period of five years:</w:t>
      </w:r>
    </w:p>
    <w:p w14:paraId="79021E3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annual production of Class B biosolids (i.e., dry tons or dry metric tons);</w:t>
      </w:r>
    </w:p>
    <w:p w14:paraId="614F571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the sewage sludge/biosolids management practice used;</w:t>
      </w:r>
    </w:p>
    <w:p w14:paraId="3BCCDF1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sampling results for hazardous characteristics; and</w:t>
      </w:r>
    </w:p>
    <w:p w14:paraId="3D97C8C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iv.</w:t>
      </w:r>
      <w:r w:rsidRPr="00326E64">
        <w:rPr>
          <w:rFonts w:ascii="Times New Roman" w:eastAsia="Calibri" w:hAnsi="Times New Roman" w:cs="Times New Roman"/>
          <w:u w:val="single"/>
        </w:rPr>
        <w:tab/>
        <w:t>sampling results for PCBs.</w:t>
      </w:r>
    </w:p>
    <w:p w14:paraId="02FF50F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Additional recordkeeping requirements for the person who prepares the Class B biosolids.</w:t>
      </w:r>
    </w:p>
    <w:p w14:paraId="17D0F9A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For Class B biosolids that are prepared for use on agricultural land, forest, a public contact site, or a reclamation site and that meet the pollutant concentrations in Table 3 of LAC 33:IX.7303.F, the Class B pathogen requirements in LAC 33:IX.7309.C.2, and the vector attraction reduction requirements in LAC 33:IX.7309.E.2.a-g:</w:t>
      </w:r>
    </w:p>
    <w:p w14:paraId="470750A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person who prepares the Class B biosolids shall develop and retain the following information for five years:</w:t>
      </w:r>
    </w:p>
    <w:p w14:paraId="7EAE936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concentration of each pollutant listed in Table 3 of LAC 33:IX.7303.F;</w:t>
      </w:r>
    </w:p>
    <w:p w14:paraId="0A59A3B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a description of how the Class B pathogen requirements in LAC 33:IX.7309.C.2 are met; and</w:t>
      </w:r>
    </w:p>
    <w:p w14:paraId="2BEB9B3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a description of how one of the vector attraction reduction requirements in LAC 33:IX.7309.E.2.a-g is met.</w:t>
      </w:r>
    </w:p>
    <w:p w14:paraId="08AF96F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For Class B biosolids prepared for use on land that is agricultural land, forest, a public contact site, or a reclamation site whose cumulative loading rate for each pollutant does not exceed the cumulative pollutant loading rate for each pollutant in Table 2 of LAC 33:IX.7303.F and that meet the Class B pathogen requirements in LAC 33:IX.7309.C.2, and the vector attraction reduction requirements in LAC 33:IX.7309.E.2.a-g:</w:t>
      </w:r>
    </w:p>
    <w:p w14:paraId="533EEB0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person who prepares the Class B biosolids shall develop and retain the following information for five years:</w:t>
      </w:r>
    </w:p>
    <w:p w14:paraId="2FCB43F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concentration of each pollutant listed in Table 3 of LAC 33:IX.7303.F in the Class B biosolids;</w:t>
      </w:r>
    </w:p>
    <w:p w14:paraId="23FAF4B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a description of how the Class B pathogen requirements in LAC 33:IX.7309.C.2 are met;</w:t>
      </w:r>
    </w:p>
    <w:p w14:paraId="6D8B84E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a description of how one of the vector attraction reduction requirements in LAC 33:IX.7309.E.2.a-g is met; and</w:t>
      </w:r>
    </w:p>
    <w:p w14:paraId="1C7632A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Any person signing a document under the provisions of either Clause 7303.C.6.b.i or ii above shall make the following certification:</w:t>
      </w:r>
    </w:p>
    <w:p w14:paraId="7D8265C4" w14:textId="77777777" w:rsidR="00326E64" w:rsidRPr="00326E64" w:rsidRDefault="00326E64" w:rsidP="00326E64">
      <w:pPr>
        <w:spacing w:line="480" w:lineRule="auto"/>
        <w:ind w:left="720" w:right="720"/>
        <w:rPr>
          <w:rFonts w:ascii="Times New Roman" w:eastAsia="Calibri" w:hAnsi="Times New Roman" w:cs="Times New Roman"/>
          <w:u w:val="single"/>
        </w:rPr>
      </w:pPr>
      <w:r w:rsidRPr="00326E64">
        <w:rPr>
          <w:rFonts w:ascii="Times New Roman" w:eastAsia="Calibri" w:hAnsi="Times New Roman" w:cs="Times New Roman"/>
          <w:u w:val="single"/>
        </w:rPr>
        <w:t xml:space="preserve">"I certify, under penalty of law, that the information that will be used to determine compliance with the Class B pathogen requirements in LAC 33:IX.7309.C.2 and the vector attraction reduction requirement in [insert one of the vector attraction reduction requirements in LAC 33:IX.7309.E.2.a-g] was prepared under my direction and supervision in accordance with the system as described in the permit application, designed to ensure that qualified personnel properly gather and </w:t>
      </w:r>
      <w:r w:rsidRPr="00326E64">
        <w:rPr>
          <w:rFonts w:ascii="Times New Roman" w:eastAsia="Calibri" w:hAnsi="Times New Roman" w:cs="Times New Roman"/>
          <w:u w:val="single"/>
        </w:rPr>
        <w:lastRenderedPageBreak/>
        <w:t>evaluate this information. I am aware that there are significant penalties for false certification including the possibility of fine and imprisonment."</w:t>
      </w:r>
    </w:p>
    <w:p w14:paraId="0E87116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7.</w:t>
      </w:r>
      <w:r w:rsidRPr="00326E64">
        <w:rPr>
          <w:rFonts w:ascii="Times New Roman" w:eastAsia="Calibri" w:hAnsi="Times New Roman" w:cs="Times New Roman"/>
          <w:u w:val="single"/>
        </w:rPr>
        <w:tab/>
        <w:t>Reporting</w:t>
      </w:r>
    </w:p>
    <w:p w14:paraId="6EB295C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 xml:space="preserve">All </w:t>
      </w:r>
      <w:r w:rsidRPr="00326E64">
        <w:rPr>
          <w:rFonts w:ascii="Times New Roman" w:eastAsia="Calibri" w:hAnsi="Times New Roman" w:cs="Times New Roman"/>
          <w:i/>
          <w:u w:val="single"/>
        </w:rPr>
        <w:t>Class I sludge management facilities</w:t>
      </w:r>
      <w:r w:rsidRPr="00326E64">
        <w:rPr>
          <w:rFonts w:ascii="Times New Roman" w:eastAsia="Calibri" w:hAnsi="Times New Roman" w:cs="Times New Roman"/>
          <w:u w:val="single"/>
        </w:rPr>
        <w:t>, as defined in LAC 33:IX.7301.B, that prepare Class B Biosolids shall submit the information in Subparagraph 6.a of this Section to the administrative authority on or before February 19 of each year.</w:t>
      </w:r>
    </w:p>
    <w:p w14:paraId="5428971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Additional Reporting Requirements</w:t>
      </w:r>
    </w:p>
    <w:p w14:paraId="3439E06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 xml:space="preserve">All other </w:t>
      </w:r>
      <w:r w:rsidRPr="00326E64">
        <w:rPr>
          <w:rFonts w:ascii="Times New Roman" w:eastAsia="Calibri" w:hAnsi="Times New Roman" w:cs="Times New Roman"/>
          <w:i/>
          <w:u w:val="single"/>
        </w:rPr>
        <w:t>Class I sludge management facilities</w:t>
      </w:r>
      <w:r w:rsidRPr="00326E64">
        <w:rPr>
          <w:rFonts w:ascii="Times New Roman" w:eastAsia="Calibri" w:hAnsi="Times New Roman" w:cs="Times New Roman"/>
          <w:u w:val="single"/>
        </w:rPr>
        <w:t>, as defined in LAC 33:IX.7301.B, that prepare Class B biosolids for use on land and are required to obtain a permit under LAC 33:IX.7301.D, shall submit the information in Paragraph 6 of this Section, for the appropriate requirements, to the administrative authority as follows.</w:t>
      </w:r>
    </w:p>
    <w:p w14:paraId="2B633B2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For facilities having a frequency of monitoring in Table 5 of LAC 33:IX.7303.F of once per year, the reporting period and the report due date shall be as specified in Table 7 of LAC 33:IX.7303.F.</w:t>
      </w:r>
    </w:p>
    <w:p w14:paraId="18E0BED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For facilities having a frequency of monitoring in Table 5 of LAC 33:IX.7303.F of once per quarter (four times per year), the reporting period and the report due date shall be as specified in Table 8 of LAC 33:IX.7303.F.</w:t>
      </w:r>
    </w:p>
    <w:p w14:paraId="010684D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For facilities having a frequency of monitoring in Table 5 of LAC 33:IX.7303.F of once per 60 days (six times per year), the reporting period and the report due date shall be as specified in Table 9 of LAC 33:IX.7303.F.</w:t>
      </w:r>
    </w:p>
    <w:p w14:paraId="722214A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For facilities having a frequency of monitoring in Table 5 of LAC 33:IX.7303.F of once per month (12 times per year), the reporting period and the report due date shall be as specified in Table 10 of LAC 33:IX.7303.F.</w:t>
      </w:r>
    </w:p>
    <w:p w14:paraId="2080070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Land Application of Class B Biosolids</w:t>
      </w:r>
    </w:p>
    <w:p w14:paraId="6A9A057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1.</w:t>
      </w:r>
      <w:r w:rsidRPr="00326E64">
        <w:rPr>
          <w:rFonts w:ascii="Times New Roman" w:eastAsia="Calibri" w:hAnsi="Times New Roman" w:cs="Times New Roman"/>
          <w:u w:val="single"/>
        </w:rPr>
        <w:tab/>
        <w:t>General Requirements</w:t>
      </w:r>
    </w:p>
    <w:p w14:paraId="31D1488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No person shall apply Class B Biosolids to the land except in accordance with the requirements in this Chapter.</w:t>
      </w:r>
    </w:p>
    <w:p w14:paraId="44D74A4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Biosolids shall not be applied to the land until the site has been approved by the administrative authority with a finding that the land application site is a legitimate beneficial use site.</w:t>
      </w:r>
    </w:p>
    <w:p w14:paraId="1248DE8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2.</w:t>
      </w:r>
      <w:r w:rsidRPr="00326E64">
        <w:rPr>
          <w:rFonts w:ascii="Times New Roman" w:eastAsia="Calibri" w:hAnsi="Times New Roman" w:cs="Times New Roman"/>
          <w:u w:val="single"/>
        </w:rPr>
        <w:tab/>
        <w:t>General Management Practices</w:t>
      </w:r>
    </w:p>
    <w:p w14:paraId="108DDA5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Land Application Restrictions</w:t>
      </w:r>
    </w:p>
    <w:p w14:paraId="2CFE8B7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Class B biosolids applied to agricultural land, forest, a public contact site, or a reclamation site shall only be applied at a whole biosolids application rate that is equal to or less than the agronomic rate for the biosolids, unless, in the case of a reclamation site, otherwise specified by the permitting authority.</w:t>
      </w:r>
    </w:p>
    <w:p w14:paraId="3C38DC6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Class B biosolids shall be applied to the land in accordance with the slope requirements in Table 11 of LAC 33:IX.7303.F.</w:t>
      </w:r>
    </w:p>
    <w:p w14:paraId="6C6C072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Class B biosolids having a concentration of PCBs greater than 10 mg/kg of total solids (dry wt.) shall be incorporated into the soil regardless of slope.</w:t>
      </w:r>
    </w:p>
    <w:p w14:paraId="075C263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Buffer Zones</w:t>
      </w:r>
    </w:p>
    <w:p w14:paraId="7531B50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When biosolids are applied to agricultural land, forest, or a reclamation site, buffer zones shall be established as follows for each application area, unless otherwise specified by the administrative authority.</w:t>
      </w:r>
    </w:p>
    <w:p w14:paraId="0EFA091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For all sites, the following buffer zone requirements apply:</w:t>
      </w:r>
    </w:p>
    <w:p w14:paraId="293A5DB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a private potable water supply well—300 feet, unless special permission is granted by the private potable water supply owner;</w:t>
      </w:r>
    </w:p>
    <w:p w14:paraId="3F290F9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a public potable water supply well, surface water intake, treatment plant, or public potable water supply elevated or ground storage tank—300 feet, unless special permission is granted by the Louisiana Department of Health; and</w:t>
      </w:r>
    </w:p>
    <w:p w14:paraId="2547E7D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a property boundary—100 feet, unless special permission is granted by the property owner(s).</w:t>
      </w:r>
    </w:p>
    <w:p w14:paraId="5296616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For new or first-time-permitted sites, the following buffer zone requirements apply:</w:t>
      </w:r>
    </w:p>
    <w:p w14:paraId="6E24542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 xml:space="preserve">an established </w:t>
      </w:r>
      <w:r w:rsidRPr="00326E64">
        <w:rPr>
          <w:rFonts w:ascii="Times New Roman" w:eastAsia="Calibri" w:hAnsi="Times New Roman" w:cs="Times New Roman"/>
          <w:i/>
          <w:u w:val="single"/>
        </w:rPr>
        <w:t>institution,</w:t>
      </w:r>
      <w:r w:rsidRPr="00326E64">
        <w:rPr>
          <w:rFonts w:ascii="Times New Roman" w:eastAsia="Calibri" w:hAnsi="Times New Roman" w:cs="Times New Roman"/>
          <w:u w:val="single"/>
        </w:rPr>
        <w:t xml:space="preserve"> as defined in LAC 33:IX.7301.B—1,000 feet, unless special permission is granted by the responsible official of the established institution. The permission shall be in the form of a notarized affidavit executed by the owner waiving the 1,000-foot buffer zone. However, in no case shall the application area be located less than 200 feet from an institution; and</w:t>
      </w:r>
    </w:p>
    <w:p w14:paraId="02BD804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a residential home or structure—500 feet, unless special permission is granted by the owner, and any lessee, of the residential home or structure. The permission shall be in the form of a notarized affidavit executed by the owner, and any lessee, waiving the 500-foot buffer zone. However, in no case shall land application of sewage sludge be conducted less than 200 feet from the residential home or structure.</w:t>
      </w:r>
    </w:p>
    <w:p w14:paraId="3AEE5C6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 xml:space="preserve">Water Table Levels </w:t>
      </w:r>
    </w:p>
    <w:p w14:paraId="655B17D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 xml:space="preserve">Biosolids shall not be applied to agricultural land, forest, or a reclamation site during the months when the water table is less than or at 2 feet below the soil surface as indicated in the Parish Soil Surveys or the Water Features Data published by the </w:t>
      </w:r>
      <w:r w:rsidRPr="00326E64">
        <w:rPr>
          <w:rFonts w:ascii="Times New Roman" w:eastAsia="Calibri" w:hAnsi="Times New Roman" w:cs="Times New Roman"/>
          <w:u w:val="single"/>
        </w:rPr>
        <w:lastRenderedPageBreak/>
        <w:t>Natural Resources Conservation Service (NRCS); or some form of monitoring device shall be provided to ensure that the annual high water table is greater than 2 feet below the soil surface.</w:t>
      </w:r>
    </w:p>
    <w:p w14:paraId="72AE3D5D"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Nutrient Management Plan and Soil Sampling</w:t>
      </w:r>
    </w:p>
    <w:p w14:paraId="217503B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person who applies biosolids to agricultural or forest land shall:</w:t>
      </w:r>
    </w:p>
    <w:p w14:paraId="211C186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provide proof to the administrative authority that a full nutrient management plan has been developed for the agricultural or forest land where the biosolids are applied. The full nutrient management plan shall be developed by:</w:t>
      </w:r>
    </w:p>
    <w:p w14:paraId="4DE05B71" w14:textId="77777777" w:rsidR="00326E64" w:rsidRPr="00326E64" w:rsidRDefault="00326E64" w:rsidP="00326E64">
      <w:pPr>
        <w:spacing w:line="480" w:lineRule="auto"/>
        <w:ind w:firstLine="4320"/>
        <w:rPr>
          <w:rFonts w:ascii="Times New Roman" w:eastAsia="Calibri" w:hAnsi="Times New Roman" w:cs="Times New Roman"/>
          <w:u w:val="single"/>
        </w:rPr>
      </w:pP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Natural Resources Conservation Service (NRCS);</w:t>
      </w:r>
    </w:p>
    <w:p w14:paraId="3320D0D9" w14:textId="77777777" w:rsidR="00326E64" w:rsidRPr="00326E64" w:rsidRDefault="00326E64" w:rsidP="00326E64">
      <w:pPr>
        <w:spacing w:line="480" w:lineRule="auto"/>
        <w:ind w:firstLine="4320"/>
        <w:rPr>
          <w:rFonts w:ascii="Times New Roman" w:eastAsia="Calibri" w:hAnsi="Times New Roman" w:cs="Times New Roman"/>
          <w:u w:val="single"/>
        </w:rPr>
      </w:pP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 xml:space="preserve"> a certified soil scientist; </w:t>
      </w:r>
    </w:p>
    <w:p w14:paraId="0CF8E3A9" w14:textId="77777777" w:rsidR="00326E64" w:rsidRPr="00326E64" w:rsidRDefault="00326E64" w:rsidP="00326E64">
      <w:pPr>
        <w:spacing w:line="480" w:lineRule="auto"/>
        <w:ind w:firstLine="4320"/>
        <w:rPr>
          <w:rFonts w:ascii="Times New Roman" w:eastAsia="Calibri" w:hAnsi="Times New Roman" w:cs="Times New Roman"/>
          <w:u w:val="single"/>
        </w:rPr>
      </w:pP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a certified crop advisor; or</w:t>
      </w:r>
    </w:p>
    <w:p w14:paraId="4342812B" w14:textId="77777777" w:rsidR="00326E64" w:rsidRPr="00326E64" w:rsidRDefault="00326E64" w:rsidP="00326E64">
      <w:pPr>
        <w:spacing w:line="480" w:lineRule="auto"/>
        <w:ind w:firstLine="4320"/>
        <w:rPr>
          <w:rFonts w:ascii="Times New Roman" w:eastAsia="Calibri" w:hAnsi="Times New Roman" w:cs="Times New Roman"/>
          <w:u w:val="single"/>
        </w:rPr>
      </w:pPr>
      <w:r w:rsidRPr="00326E64">
        <w:rPr>
          <w:rFonts w:ascii="Times New Roman" w:eastAsia="Calibri" w:hAnsi="Times New Roman" w:cs="Times New Roman"/>
          <w:u w:val="single"/>
        </w:rPr>
        <w:t>(iv).</w:t>
      </w:r>
      <w:r w:rsidRPr="00326E64">
        <w:rPr>
          <w:rFonts w:ascii="Times New Roman" w:eastAsia="Calibri" w:hAnsi="Times New Roman" w:cs="Times New Roman"/>
          <w:u w:val="single"/>
        </w:rPr>
        <w:tab/>
        <w:t xml:space="preserve"> a local Louisiana State University (LSU) Agricultural Center Cooperative Extension Service agent; or</w:t>
      </w:r>
    </w:p>
    <w:p w14:paraId="69621FF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sample the soil at the site or sites where biosolids are land-applied on an annual basis, or, if double cropping is practiced, prior to the planting of each crop, for the following parameters:</w:t>
      </w:r>
    </w:p>
    <w:p w14:paraId="7472372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total Kjeldahl nitrogen;</w:t>
      </w:r>
    </w:p>
    <w:p w14:paraId="5CBAB1E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total nitrates;</w:t>
      </w:r>
    </w:p>
    <w:p w14:paraId="0146CEF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total nitrites;</w:t>
      </w:r>
    </w:p>
    <w:p w14:paraId="147FC05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(iv).</w:t>
      </w:r>
      <w:r w:rsidRPr="00326E64">
        <w:rPr>
          <w:rFonts w:ascii="Times New Roman" w:eastAsia="Calibri" w:hAnsi="Times New Roman" w:cs="Times New Roman"/>
          <w:u w:val="single"/>
        </w:rPr>
        <w:tab/>
        <w:t>total phosphorus;</w:t>
      </w:r>
    </w:p>
    <w:p w14:paraId="040289D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(v).</w:t>
      </w:r>
      <w:r w:rsidRPr="00326E64">
        <w:rPr>
          <w:rFonts w:ascii="Times New Roman" w:eastAsia="Calibri" w:hAnsi="Times New Roman" w:cs="Times New Roman"/>
          <w:u w:val="single"/>
        </w:rPr>
        <w:tab/>
        <w:t>total potassium; and</w:t>
      </w:r>
    </w:p>
    <w:p w14:paraId="706E15D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(vi).</w:t>
      </w:r>
      <w:r w:rsidRPr="00326E64">
        <w:rPr>
          <w:rFonts w:ascii="Times New Roman" w:eastAsia="Calibri" w:hAnsi="Times New Roman" w:cs="Times New Roman"/>
          <w:u w:val="single"/>
        </w:rPr>
        <w:tab/>
        <w:t>pH.</w:t>
      </w:r>
    </w:p>
    <w:p w14:paraId="4A47D0E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u w:val="single"/>
        </w:rPr>
        <w:t>3.</w:t>
      </w:r>
      <w:r w:rsidRPr="00326E64">
        <w:rPr>
          <w:rFonts w:ascii="Times New Roman" w:eastAsia="Calibri" w:hAnsi="Times New Roman" w:cs="Times New Roman"/>
          <w:u w:val="single"/>
        </w:rPr>
        <w:tab/>
        <w:t>Pollutant Limits</w:t>
      </w:r>
    </w:p>
    <w:p w14:paraId="4026D5C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Class B biosolids applied to the land shall meet the pollutant limit requirements in LAC 33:IX.7303.C.2.</w:t>
      </w:r>
    </w:p>
    <w:p w14:paraId="2CE54B8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4.</w:t>
      </w:r>
      <w:r w:rsidRPr="00326E64">
        <w:rPr>
          <w:rFonts w:ascii="Times New Roman" w:eastAsia="Calibri" w:hAnsi="Times New Roman" w:cs="Times New Roman"/>
          <w:u w:val="single"/>
        </w:rPr>
        <w:tab/>
        <w:t>Other Requirements for Class B Biosolids</w:t>
      </w:r>
    </w:p>
    <w:p w14:paraId="738E5D8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person who applies Class B biosolids to the land shall provide the owner or leaseholder of the land on which the Class B biosolids are applied with notice and necessary information to comply with the requirements in this Chapter.</w:t>
      </w:r>
    </w:p>
    <w:p w14:paraId="37A67FF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No person shall apply Class B biosolids subject to the cumulative pollutant loading rates in Table 2 of LAC 33:IX.7303.F to the land without first contacting the administrative authority to determine if Class B biosolids subject to the cumulative pollutant loading rates in Table 2 of LAC 33:IX.7303.F have been applied to the land since July 20, 1993.</w:t>
      </w:r>
    </w:p>
    <w:p w14:paraId="09893AF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No person shall apply Class B biosolids subject to the cumulative pollutant loading rates in Table 2 of LAC 33:IX.7303.F to agricultural land, forest, a public contact site, or a reclamation site if any of the cumulative pollutant loading rates in Table 2 of LAC 33:IX.7303.F has been reached.</w:t>
      </w:r>
    </w:p>
    <w:p w14:paraId="70A8140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If Class B biosolids have not been applied to a site since July 20, 1993, the cumulative amount for each pollutant listed in Table 2 of LAC 33:IX.7303.F may be applied to the site in accordance with Subclause C.2.a.ii.(a).</w:t>
      </w:r>
    </w:p>
    <w:p w14:paraId="7B1666B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e.</w:t>
      </w:r>
      <w:r w:rsidRPr="00326E64">
        <w:rPr>
          <w:rFonts w:ascii="Times New Roman" w:eastAsia="Calibri" w:hAnsi="Times New Roman" w:cs="Times New Roman"/>
          <w:u w:val="single"/>
        </w:rPr>
        <w:tab/>
        <w:t>If Class B biosolids have been applied to the site since July 20, 1993, and the cumulative amount of each pollutant applied to the site in the bulk biosolids since that date is known, the cumulative amount of each pollutant applied to the site shall be used to determine the additional amount of each pollutant that can be applied to the site in accordance with Subclause C.2.a.ii.(a).</w:t>
      </w:r>
    </w:p>
    <w:p w14:paraId="256FE15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f.</w:t>
      </w:r>
      <w:r w:rsidRPr="00326E64">
        <w:rPr>
          <w:rFonts w:ascii="Times New Roman" w:eastAsia="Calibri" w:hAnsi="Times New Roman" w:cs="Times New Roman"/>
          <w:u w:val="single"/>
        </w:rPr>
        <w:tab/>
        <w:t>If Class B biosolids have been applied to the site since July 20, 1993, and the cumulative amount of each pollutant applied to the site in the Class B biosolids since that date is not known, an additional amount of each pollutant shall not be applied to the site in accordance with Subclause C.2.a.ii.(a).</w:t>
      </w:r>
    </w:p>
    <w:p w14:paraId="50246C2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5.</w:t>
      </w:r>
      <w:r w:rsidRPr="00326E64">
        <w:rPr>
          <w:rFonts w:ascii="Times New Roman" w:eastAsia="Calibri" w:hAnsi="Times New Roman" w:cs="Times New Roman"/>
          <w:u w:val="single"/>
        </w:rPr>
        <w:tab/>
        <w:t>Other Management Practices for Class B Biosolids</w:t>
      </w:r>
    </w:p>
    <w:p w14:paraId="2055A15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Class B biosolids shall not be applied to the land if it is likely to adversely affect a threatened or endangered species listed under Section 4 of the Endangered Species Act or its designated critical habitat.</w:t>
      </w:r>
    </w:p>
    <w:p w14:paraId="101BF8B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 xml:space="preserve">Class B biosolids shall not be applied to agricultural land, forest, a public contact site, or a reclamation site that is flooded, frozen, or snow-covered so that the Class B biosolids enter a </w:t>
      </w:r>
      <w:r w:rsidRPr="00326E64">
        <w:rPr>
          <w:rFonts w:ascii="Times New Roman" w:eastAsia="Calibri" w:hAnsi="Times New Roman" w:cs="Times New Roman"/>
          <w:i/>
          <w:u w:val="single"/>
        </w:rPr>
        <w:t>wetland</w:t>
      </w:r>
      <w:r w:rsidRPr="00326E64">
        <w:rPr>
          <w:rFonts w:ascii="Times New Roman" w:eastAsia="Calibri" w:hAnsi="Times New Roman" w:cs="Times New Roman"/>
          <w:u w:val="single"/>
        </w:rPr>
        <w:t xml:space="preserve"> or other </w:t>
      </w:r>
      <w:r w:rsidRPr="00326E64">
        <w:rPr>
          <w:rFonts w:ascii="Times New Roman" w:eastAsia="Calibri" w:hAnsi="Times New Roman" w:cs="Times New Roman"/>
          <w:i/>
          <w:u w:val="single"/>
        </w:rPr>
        <w:t>waters of the state</w:t>
      </w:r>
      <w:r w:rsidRPr="00326E64">
        <w:rPr>
          <w:rFonts w:ascii="Times New Roman" w:eastAsia="Calibri" w:hAnsi="Times New Roman" w:cs="Times New Roman"/>
          <w:u w:val="single"/>
        </w:rPr>
        <w:t>, as defined in LAC 33:IX.2313, except as provided in a permit issued in accordance with Section 402 or 404 of the Clean Water Act or LAC 33:IX.Chapters 23-71.</w:t>
      </w:r>
    </w:p>
    <w:p w14:paraId="1C20C04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 xml:space="preserve">Class B biosolids shall not be applied to agricultural land, forest, or a reclamation site that is 33 feet (10 meters) or less from any </w:t>
      </w:r>
      <w:r w:rsidRPr="00326E64">
        <w:rPr>
          <w:rFonts w:ascii="Times New Roman" w:eastAsia="Calibri" w:hAnsi="Times New Roman" w:cs="Times New Roman"/>
          <w:i/>
          <w:u w:val="single"/>
        </w:rPr>
        <w:t>waters of the state</w:t>
      </w:r>
      <w:r w:rsidRPr="00326E64">
        <w:rPr>
          <w:rFonts w:ascii="Times New Roman" w:eastAsia="Calibri" w:hAnsi="Times New Roman" w:cs="Times New Roman"/>
          <w:u w:val="single"/>
        </w:rPr>
        <w:t>, as defined in LAC 33:IX.2313, unless otherwise specified by the permitting authority.</w:t>
      </w:r>
    </w:p>
    <w:p w14:paraId="2F7DF23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Class B biosolids shall not be applied to the land if it would affect a property that either is listed on, or is eligible for listing on, the National Register of Historic Places.</w:t>
      </w:r>
    </w:p>
    <w:p w14:paraId="0DC1C9D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6.</w:t>
      </w:r>
      <w:r w:rsidRPr="00326E64">
        <w:rPr>
          <w:rFonts w:ascii="Times New Roman" w:eastAsia="Calibri" w:hAnsi="Times New Roman" w:cs="Times New Roman"/>
          <w:u w:val="single"/>
        </w:rPr>
        <w:tab/>
        <w:t>Operational Standards―Pathogens and Vector Attraction Reduction</w:t>
      </w:r>
    </w:p>
    <w:p w14:paraId="5E69679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Pathogens</w:t>
      </w:r>
    </w:p>
    <w:p w14:paraId="0CB7086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Class B pathogen requirements and site restrictions in LAC 33:IX.7309.C.2 shall be met when bulk biosolids are applied to agricultural land, forest, a public contact site, or a reclamation site.</w:t>
      </w:r>
    </w:p>
    <w:p w14:paraId="64CB4D3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Vector Attraction Reduction</w:t>
      </w:r>
    </w:p>
    <w:p w14:paraId="665ED88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One of the vector attraction reduction requirements in LAC 33:IX.7309.E.2.a-g shall be met when Class B biosolids are applied to agricultural land, forest, a public contact site, or a reclamation site.</w:t>
      </w:r>
    </w:p>
    <w:p w14:paraId="5FA4A14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7.</w:t>
      </w:r>
      <w:r w:rsidRPr="00326E64">
        <w:rPr>
          <w:rFonts w:ascii="Times New Roman" w:eastAsia="Calibri" w:hAnsi="Times New Roman" w:cs="Times New Roman"/>
          <w:u w:val="single"/>
        </w:rPr>
        <w:tab/>
        <w:t>Recordkeeping</w:t>
      </w:r>
    </w:p>
    <w:p w14:paraId="49CD226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For Class B biosolids that are applied to agricultural land, forest, a public contact site, or a reclamation site and that meet the pollutant concentrations in Table 3 of LAC 33:IX.7303.F, the Class B pathogen requirements in LAC 33:IX.7309.C.2, and the vector attraction reduction requirements in LAC 33:IX.7309.E.2.a-g:</w:t>
      </w:r>
    </w:p>
    <w:p w14:paraId="5DAC8C1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person who applies the Class B biosolids to the land shall develop and retain the following information for five years:</w:t>
      </w:r>
    </w:p>
    <w:p w14:paraId="3F868E8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a description of how the general management practices in Subparagraphs D.2.a-d of this Section and the other management practices for Class B biosolids in Paragraph 5 of this Subsection are met for each land site on which Class B biosolids are applied;</w:t>
      </w:r>
    </w:p>
    <w:p w14:paraId="2816411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a description of how the site restrictions in LAC 33:IX.7309.C.2.e are met for each land application site on which Class B biosolids are applied;</w:t>
      </w:r>
    </w:p>
    <w:p w14:paraId="78CBA86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when the vector attraction reduction requirement in either LAC 33:IX.7309.E.2.f or g is met, a description of how the requirement is met;</w:t>
      </w:r>
    </w:p>
    <w:p w14:paraId="380784B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the date Class B biosolids are applied to each site; and</w:t>
      </w:r>
    </w:p>
    <w:p w14:paraId="137AC3C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(e).</w:t>
      </w:r>
      <w:r w:rsidRPr="00326E64">
        <w:rPr>
          <w:rFonts w:ascii="Times New Roman" w:eastAsia="Calibri" w:hAnsi="Times New Roman" w:cs="Times New Roman"/>
          <w:u w:val="single"/>
        </w:rPr>
        <w:tab/>
        <w:t>the following certification statement:</w:t>
      </w:r>
    </w:p>
    <w:p w14:paraId="67B5BA0D" w14:textId="77777777" w:rsidR="00326E64" w:rsidRPr="00326E64" w:rsidRDefault="00326E64" w:rsidP="00326E64">
      <w:pPr>
        <w:spacing w:line="480" w:lineRule="auto"/>
        <w:ind w:left="720" w:right="720"/>
        <w:rPr>
          <w:rFonts w:ascii="Times New Roman" w:eastAsia="Calibri" w:hAnsi="Times New Roman" w:cs="Times New Roman"/>
          <w:u w:val="single"/>
        </w:rPr>
      </w:pPr>
      <w:r w:rsidRPr="00326E64">
        <w:rPr>
          <w:rFonts w:ascii="Times New Roman" w:eastAsia="Calibri" w:hAnsi="Times New Roman" w:cs="Times New Roman"/>
          <w:u w:val="single"/>
        </w:rPr>
        <w:t>"I certify, under penalty of law, that the information that will be used to determine compliance with the general management practices in LAC 33:IX.7303.D.2.a-d, the other management practices for bulk biosolids in LAC 33:IX.7303.D.5, the site restrictions in LAC 33:IX.7309.C.2.e, and the vector attraction reduction requirement in [insert either LAC 33:IX.7309.E.2.f or g] was prepared for each site on which bulk biosolids are applied under my direction and supervision in accordance with the system as described in the permit application, designed to ensure that qualified personnel properly gather and evaluate this information. I am aware that there are significant penalties for false certification including the possibility of fine and imprisonment."</w:t>
      </w:r>
    </w:p>
    <w:p w14:paraId="41AF823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For Class B biosolids applied to the land that is agricultural land, forest, a public contact site, or a reclamation site whose cumulative loading rate for each pollutant does not exceed the cumulative pollutant loading rate for each pollutant in Table 2 of LAC 33:IX.7303.F and that meet the Class B pathogen requirements in LAC 33:IX.7309.C.2, and the vector attraction reduction requirements in LAC 33:IX.7309.E.2.a-g:</w:t>
      </w:r>
    </w:p>
    <w:p w14:paraId="0523CE6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person who applies the Class B biosolids to the land shall develop and retain the following information in Subclauses D.7.b.i.(a)-(g) of this Subsection indefinitely, and retain the information in Subclauses D.7.b.i.(h)-(j) of this Subsection for five years:</w:t>
      </w:r>
    </w:p>
    <w:p w14:paraId="49B2FFE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location of each land site on which Class B biosolids are applied by either street address or latitude and longitude;</w:t>
      </w:r>
    </w:p>
    <w:p w14:paraId="730FB4ED"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the number of hectares or acres in each site on which Class B biosolids are applied;</w:t>
      </w:r>
    </w:p>
    <w:p w14:paraId="3C9CE5E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the date Class B biosolids are applied to each land site;</w:t>
      </w:r>
    </w:p>
    <w:p w14:paraId="6A2CA7D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the cumulative amount of each pollutant (i.e., kilograms) listed in Table 2 of LAC 33:IX.7303.F in the Class B biosolids applied to each land site, including the amount in Subparagraph D.4.e of this Subsection;</w:t>
      </w:r>
    </w:p>
    <w:p w14:paraId="4E306DB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(e).</w:t>
      </w:r>
      <w:r w:rsidRPr="00326E64">
        <w:rPr>
          <w:rFonts w:ascii="Times New Roman" w:eastAsia="Calibri" w:hAnsi="Times New Roman" w:cs="Times New Roman"/>
          <w:u w:val="single"/>
        </w:rPr>
        <w:tab/>
        <w:t>the amount of Class B biosolids (i.e., tons or metric tons) applied to each land site;</w:t>
      </w:r>
    </w:p>
    <w:p w14:paraId="32ED508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(f).</w:t>
      </w:r>
      <w:r w:rsidRPr="00326E64">
        <w:rPr>
          <w:rFonts w:ascii="Times New Roman" w:eastAsia="Calibri" w:hAnsi="Times New Roman" w:cs="Times New Roman"/>
          <w:u w:val="single"/>
        </w:rPr>
        <w:tab/>
        <w:t>a description of how the information was obtained in order to comply with Subparagraph D.4 of this Section;</w:t>
      </w:r>
    </w:p>
    <w:p w14:paraId="553654F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(g).</w:t>
      </w:r>
      <w:r w:rsidRPr="00326E64">
        <w:rPr>
          <w:rFonts w:ascii="Times New Roman" w:eastAsia="Calibri" w:hAnsi="Times New Roman" w:cs="Times New Roman"/>
          <w:u w:val="single"/>
        </w:rPr>
        <w:tab/>
        <w:t>a description of how the general management practices in Subparagraphs D.2.a-d of this Subsection and the other management practices in Subparagraph D.5 of this Subsection are met for each land site on which Class B biosolids are applied;</w:t>
      </w:r>
    </w:p>
    <w:p w14:paraId="20660AA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(h).</w:t>
      </w:r>
      <w:r w:rsidRPr="00326E64">
        <w:rPr>
          <w:rFonts w:ascii="Times New Roman" w:eastAsia="Calibri" w:hAnsi="Times New Roman" w:cs="Times New Roman"/>
          <w:u w:val="single"/>
        </w:rPr>
        <w:tab/>
        <w:t>a description of how the site restrictions in LAC 33:IX.7309.C.2.e are met for each land site on which Class B biosolids are applied;</w:t>
      </w:r>
    </w:p>
    <w:p w14:paraId="05B385B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if the vector attraction reduction requirements in either LAC 33:IX.7309.E.2.f or g are met, a description of how the requirements are met;</w:t>
      </w:r>
    </w:p>
    <w:p w14:paraId="531E215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(j).</w:t>
      </w:r>
      <w:r w:rsidRPr="00326E64">
        <w:rPr>
          <w:rFonts w:ascii="Times New Roman" w:eastAsia="Calibri" w:hAnsi="Times New Roman" w:cs="Times New Roman"/>
          <w:u w:val="single"/>
        </w:rPr>
        <w:tab/>
        <w:t>the following certification statement:</w:t>
      </w:r>
    </w:p>
    <w:p w14:paraId="45F1C83E" w14:textId="77777777" w:rsidR="00326E64" w:rsidRPr="00326E64" w:rsidRDefault="00326E64" w:rsidP="00326E64">
      <w:pPr>
        <w:spacing w:line="480" w:lineRule="auto"/>
        <w:ind w:left="720" w:right="720"/>
        <w:rPr>
          <w:rFonts w:ascii="Times New Roman" w:eastAsia="Calibri" w:hAnsi="Times New Roman" w:cs="Times New Roman"/>
          <w:u w:val="single"/>
        </w:rPr>
      </w:pPr>
      <w:r w:rsidRPr="00326E64">
        <w:rPr>
          <w:rFonts w:ascii="Times New Roman" w:eastAsia="Calibri" w:hAnsi="Times New Roman" w:cs="Times New Roman"/>
          <w:u w:val="single"/>
        </w:rPr>
        <w:lastRenderedPageBreak/>
        <w:t>“I certify under penalty of law, that the information that will be used to determine compliance with LAC 33.IX.7303.D.2, D.4, D.5, LAC 33:IX.7309.C.2, and LAC 33:IX.7309.E.2.f or g was prepared under my direction and supervision in accordance with the system as described in the permit application, designed to ensure that qualified personnel properly gather and evaluate this information.  I am aware that there are significant penalties for false certification including the possibility of fine and imprisonment.”</w:t>
      </w:r>
    </w:p>
    <w:p w14:paraId="679BD0D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8.</w:t>
      </w:r>
      <w:r w:rsidRPr="00326E64">
        <w:rPr>
          <w:rFonts w:ascii="Times New Roman" w:eastAsia="Calibri" w:hAnsi="Times New Roman" w:cs="Times New Roman"/>
          <w:u w:val="single"/>
        </w:rPr>
        <w:tab/>
        <w:t>Frequency of Monitoring. The frequency of monitoring for the pollutants listed in Tables 1-3 of LAC 33:IX.7303.F; the frequency of monitoring for pathogen density requirements in LAC 33:IX.7309.C.2; and the frequency of monitoring for vector attraction reduction requirements in LAC 33:IX.7309.E.2.a-e shall be at the frequency specified in Table 5 of LAC 33:IX.7303.F.</w:t>
      </w:r>
    </w:p>
    <w:p w14:paraId="5FA855B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9.</w:t>
      </w:r>
      <w:r w:rsidRPr="00326E64">
        <w:rPr>
          <w:rFonts w:ascii="Times New Roman" w:eastAsia="Calibri" w:hAnsi="Times New Roman" w:cs="Times New Roman"/>
          <w:u w:val="single"/>
        </w:rPr>
        <w:tab/>
        <w:t>Reporting</w:t>
      </w:r>
    </w:p>
    <w:p w14:paraId="57EC7C5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 xml:space="preserve">All </w:t>
      </w:r>
      <w:r w:rsidRPr="00326E64">
        <w:rPr>
          <w:rFonts w:ascii="Times New Roman" w:eastAsia="Calibri" w:hAnsi="Times New Roman" w:cs="Times New Roman"/>
          <w:i/>
          <w:u w:val="single"/>
        </w:rPr>
        <w:t>Class I sludge management facilities</w:t>
      </w:r>
      <w:r w:rsidRPr="00326E64">
        <w:rPr>
          <w:rFonts w:ascii="Times New Roman" w:eastAsia="Calibri" w:hAnsi="Times New Roman" w:cs="Times New Roman"/>
          <w:u w:val="single"/>
        </w:rPr>
        <w:t>, as defined in LAC 33:IX.7301.B, that apply Class B biosolids to the land and are required to obtain a permit under LAC 33:IX.7301.D, shall submit the information in Subparagraph 7.a of this Section, for the appropriate requirements, to the administrative authority as follows.</w:t>
      </w:r>
    </w:p>
    <w:p w14:paraId="266AAD9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For facilities having a frequency of monitoring in Table 5 of LAC 33:IX.7303.F of once per year, the reporting period and the report due date shall be as specified in Table 7 of LAC 33:IX.7303.F.</w:t>
      </w:r>
    </w:p>
    <w:p w14:paraId="65920BC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For facilities having a frequency of monitoring in Table 5 of LAC 33:IX.7303.F of once per quarter (four times per year), the reporting period and the report due date shall be as specified in Table 8 of LAC 33:IX.7303.F.</w:t>
      </w:r>
    </w:p>
    <w:p w14:paraId="2EDA217D"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For facilities having a frequency of monitoring in Table 5 of LAC 33:IX.7303.F of once per 60 days (six times per year), the reporting period and the report due date shall be as specified in Table 9 of LAC 33:IX.7303.F.</w:t>
      </w:r>
    </w:p>
    <w:p w14:paraId="0143969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(iv).</w:t>
      </w:r>
      <w:r w:rsidRPr="00326E64">
        <w:rPr>
          <w:rFonts w:ascii="Times New Roman" w:eastAsia="Calibri" w:hAnsi="Times New Roman" w:cs="Times New Roman"/>
          <w:u w:val="single"/>
        </w:rPr>
        <w:tab/>
        <w:t>For facilities having a frequency of monitoring in Table 5 of LAC 33:IX.7303.F of once per month (12 times per year), the reporting period and the report due date shall be as specified in Table 10 of LAC 33:IX.7303.F.</w:t>
      </w:r>
    </w:p>
    <w:p w14:paraId="18F52B6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10.</w:t>
      </w:r>
      <w:r w:rsidRPr="00326E64">
        <w:rPr>
          <w:rFonts w:ascii="Times New Roman" w:eastAsia="Calibri" w:hAnsi="Times New Roman" w:cs="Times New Roman"/>
          <w:u w:val="single"/>
        </w:rPr>
        <w:tab/>
        <w:t>Procedure for the Addition of Land Application Sites</w:t>
      </w:r>
    </w:p>
    <w:p w14:paraId="108F9EC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If a person who possesses a sewage sludge and biosolids use or disposal permit for Class B biosolids wishes to add a land application site(s) to the permit, the person shall submit a request package to the administrative authority at least 180 days prior to the anticipated date by which authorization is needed containing the following information:</w:t>
      </w:r>
    </w:p>
    <w:p w14:paraId="70CB4E1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evidence of notification of the landowners bordering the proposed land application site(s). The notification may be in the form of a public notice placed in the local newspaper being circulated in the area of the proposed site(s), certified letters of notification that were either hand delivered or mailed to the landowners bordering the proposed site(s), or signed agreements of the landowners bordering the proposed site(s) to application of Class B biosolids to the site(s);</w:t>
      </w:r>
    </w:p>
    <w:p w14:paraId="42807C8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signed agreement(s) to the application of Class B biosolids from the landowner(s) of the proposed site(s); and</w:t>
      </w:r>
    </w:p>
    <w:p w14:paraId="5635012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a completed Permit Application for the Use or Disposal of Sewage Sludge (Biosolids) in Louisiana.</w:t>
      </w:r>
    </w:p>
    <w:p w14:paraId="4A7A406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After receipt and review of the request package required in Paragraph 10.a of this Section for the addition of a land application site(s), a decision shall be rendered by the administrative authority regarding the request.</w:t>
      </w:r>
    </w:p>
    <w:p w14:paraId="4F04DC2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u w:val="single"/>
        </w:rPr>
        <w:t>E.</w:t>
      </w:r>
      <w:r w:rsidRPr="00326E64">
        <w:rPr>
          <w:rFonts w:ascii="Times New Roman" w:eastAsia="Calibri" w:hAnsi="Times New Roman" w:cs="Times New Roman"/>
          <w:u w:val="single"/>
        </w:rPr>
        <w:tab/>
        <w:t>Preparation of Exceptional Quality Biosolids</w:t>
      </w:r>
    </w:p>
    <w:p w14:paraId="087F656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1.</w:t>
      </w:r>
      <w:r w:rsidRPr="00326E64">
        <w:rPr>
          <w:rFonts w:ascii="Times New Roman" w:eastAsia="Calibri" w:hAnsi="Times New Roman" w:cs="Times New Roman"/>
          <w:u w:val="single"/>
        </w:rPr>
        <w:tab/>
        <w:t>Requirements for the Preparation of Exceptional Quality Biosolids</w:t>
      </w:r>
    </w:p>
    <w:p w14:paraId="1A618C4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General Requirements</w:t>
      </w:r>
    </w:p>
    <w:p w14:paraId="2B4EC58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 xml:space="preserve">Biosolids shall not be applied to the land as Exceptional Quality biosolids until the sample analyses have shown that the biosolids meet the criteria for </w:t>
      </w:r>
      <w:r w:rsidRPr="00326E64">
        <w:rPr>
          <w:rFonts w:ascii="Times New Roman" w:eastAsia="Calibri" w:hAnsi="Times New Roman" w:cs="Times New Roman"/>
          <w:i/>
          <w:u w:val="single"/>
        </w:rPr>
        <w:t>Exceptional Quality biosolids</w:t>
      </w:r>
      <w:r w:rsidRPr="00326E64">
        <w:rPr>
          <w:rFonts w:ascii="Times New Roman" w:eastAsia="Calibri" w:hAnsi="Times New Roman" w:cs="Times New Roman"/>
          <w:u w:val="single"/>
        </w:rPr>
        <w:t>, as defined in LAC 33:IX.7301.B.</w:t>
      </w:r>
    </w:p>
    <w:p w14:paraId="07FB8D3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 xml:space="preserve">If results of the sampling indicate that the biosolids are no longer </w:t>
      </w:r>
      <w:r w:rsidRPr="00326E64">
        <w:rPr>
          <w:rFonts w:ascii="Times New Roman" w:eastAsia="Calibri" w:hAnsi="Times New Roman" w:cs="Times New Roman"/>
          <w:i/>
          <w:u w:val="single"/>
        </w:rPr>
        <w:t>Exceptional Quality biosolids</w:t>
      </w:r>
      <w:r w:rsidRPr="00326E64">
        <w:rPr>
          <w:rFonts w:ascii="Times New Roman" w:eastAsia="Calibri" w:hAnsi="Times New Roman" w:cs="Times New Roman"/>
          <w:u w:val="single"/>
        </w:rPr>
        <w:t>, as defined in LAC 33:IX.7301.B, then the preparer shall cease any land application of the biosolids as Exceptional Quality biosolids.</w:t>
      </w:r>
    </w:p>
    <w:p w14:paraId="5864C53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If biosolids that are no longer Exceptional Quality are used or disposed, then the exemption for Exceptional Quality biosolids no longer applies, and the biosolids shall meet all the requirements and restrictions of this Chapter that apply to biosolids that are not Exceptional Quality biosolids.</w:t>
      </w:r>
    </w:p>
    <w:p w14:paraId="2CEF2AE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Application and Permitting Requirements for Persons Who Prepare Sewage Sludge as Exceptional Quality Biosolids</w:t>
      </w:r>
    </w:p>
    <w:p w14:paraId="6E4D717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 xml:space="preserve">A person who prepares sewage sludge as Exceptional Quality biosolids shall prepare the sewage sludge in a manner that will assure that the sewage sludge meets all of the requirements of </w:t>
      </w:r>
      <w:r w:rsidRPr="00326E64">
        <w:rPr>
          <w:rFonts w:ascii="Times New Roman" w:eastAsia="Calibri" w:hAnsi="Times New Roman" w:cs="Times New Roman"/>
          <w:i/>
          <w:u w:val="single"/>
        </w:rPr>
        <w:t>Exceptional Quality biosolids</w:t>
      </w:r>
      <w:r w:rsidRPr="00326E64">
        <w:rPr>
          <w:rFonts w:ascii="Times New Roman" w:eastAsia="Calibri" w:hAnsi="Times New Roman" w:cs="Times New Roman"/>
          <w:u w:val="single"/>
        </w:rPr>
        <w:t>, as defined in LAC 33:IX.7301.B, and shall forward to the administrative authority a permit application for the Use or Disposal of Sewage Sludge (Biosolids) form having the following information:</w:t>
      </w:r>
    </w:p>
    <w:p w14:paraId="2C0635F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laboratory analysis of the metals in Tables 1 and 3 of LAC 33:IX.7303.F;</w:t>
      </w:r>
    </w:p>
    <w:p w14:paraId="055077C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the laboratory analysis for percent dry solids, percent ammonia nitrogen, percent nitrate, percent nitrite, percent nitrogen, percent phosphorus, percent potassium, and percent organic matter and, if the sewage sludge or biosolids underwent or were subjected to any type of alkaline stabilization and/or alkaline treatment, the pH of the sewage sludge or biosolids;</w:t>
      </w:r>
    </w:p>
    <w:p w14:paraId="7B0FF89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the laboratory results for polychlorinated biphenyls (PCBs);</w:t>
      </w:r>
    </w:p>
    <w:p w14:paraId="2EC096E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the Exceptional Quality biosolids pathogen requirement in LAC 33:IX.7309.C.1 that will be utilized;</w:t>
      </w:r>
    </w:p>
    <w:p w14:paraId="2D69812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(e).</w:t>
      </w:r>
      <w:r w:rsidRPr="00326E64">
        <w:rPr>
          <w:rFonts w:ascii="Times New Roman" w:eastAsia="Calibri" w:hAnsi="Times New Roman" w:cs="Times New Roman"/>
          <w:u w:val="single"/>
        </w:rPr>
        <w:tab/>
        <w:t>the vector attraction reduction requirement in LAC 33:IX.7309.E.2.a-e that will be utilized;</w:t>
      </w:r>
    </w:p>
    <w:p w14:paraId="438D2E6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(f).</w:t>
      </w:r>
      <w:r w:rsidRPr="00326E64">
        <w:rPr>
          <w:rFonts w:ascii="Times New Roman" w:eastAsia="Calibri" w:hAnsi="Times New Roman" w:cs="Times New Roman"/>
          <w:u w:val="single"/>
        </w:rPr>
        <w:tab/>
        <w:t>the label or information sheet that shall accompany Exceptional Quality biosolids that are sold or given away either in bulk or in a bag, are required to contain the following information:</w:t>
      </w:r>
    </w:p>
    <w:p w14:paraId="1A391E5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name and address of the preparer;</w:t>
      </w:r>
    </w:p>
    <w:p w14:paraId="1C4D1CE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the concentration (by volume) of each metal in Table 3 of LAC 33:IX.7303.F;</w:t>
      </w:r>
    </w:p>
    <w:p w14:paraId="5559F5E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percent nitrogen;</w:t>
      </w:r>
    </w:p>
    <w:p w14:paraId="773C472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(iv).</w:t>
      </w:r>
      <w:r w:rsidRPr="00326E64">
        <w:rPr>
          <w:rFonts w:ascii="Times New Roman" w:eastAsia="Calibri" w:hAnsi="Times New Roman" w:cs="Times New Roman"/>
          <w:u w:val="single"/>
        </w:rPr>
        <w:tab/>
        <w:t>percent ammonia nitrogen;</w:t>
      </w:r>
    </w:p>
    <w:p w14:paraId="5E83B7D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(v).</w:t>
      </w:r>
      <w:r w:rsidRPr="00326E64">
        <w:rPr>
          <w:rFonts w:ascii="Times New Roman" w:eastAsia="Calibri" w:hAnsi="Times New Roman" w:cs="Times New Roman"/>
          <w:u w:val="single"/>
        </w:rPr>
        <w:tab/>
        <w:t>percent phosphorus;</w:t>
      </w:r>
    </w:p>
    <w:p w14:paraId="7E31280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(vi).</w:t>
      </w:r>
      <w:r w:rsidRPr="00326E64">
        <w:rPr>
          <w:rFonts w:ascii="Times New Roman" w:eastAsia="Calibri" w:hAnsi="Times New Roman" w:cs="Times New Roman"/>
          <w:u w:val="single"/>
        </w:rPr>
        <w:tab/>
        <w:t>percent potassium;</w:t>
      </w:r>
    </w:p>
    <w:p w14:paraId="3EDA25E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(vii).</w:t>
      </w:r>
      <w:r w:rsidRPr="00326E64">
        <w:rPr>
          <w:rFonts w:ascii="Times New Roman" w:eastAsia="Calibri" w:hAnsi="Times New Roman" w:cs="Times New Roman"/>
          <w:u w:val="single"/>
        </w:rPr>
        <w:tab/>
        <w:t>pH;</w:t>
      </w:r>
    </w:p>
    <w:p w14:paraId="51EC1A8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(viii).</w:t>
      </w:r>
      <w:r w:rsidRPr="00326E64">
        <w:rPr>
          <w:rFonts w:ascii="Times New Roman" w:eastAsia="Calibri" w:hAnsi="Times New Roman" w:cs="Times New Roman"/>
          <w:u w:val="single"/>
        </w:rPr>
        <w:tab/>
        <w:t>the concentration of PCBs in mg/kg of total solids (dry wt.); and</w:t>
      </w:r>
    </w:p>
    <w:p w14:paraId="69C3900D"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(g).</w:t>
      </w:r>
      <w:r w:rsidRPr="00326E64">
        <w:rPr>
          <w:rFonts w:ascii="Times New Roman" w:eastAsia="Calibri" w:hAnsi="Times New Roman" w:cs="Times New Roman"/>
          <w:u w:val="single"/>
        </w:rPr>
        <w:tab/>
        <w:t>application instructions and a statement that application of the Exceptional Quality biosolids to the land is prohibited except in accordance with the instructions on the label or information sheet; and</w:t>
      </w:r>
    </w:p>
    <w:p w14:paraId="0E7A341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(h).</w:t>
      </w:r>
      <w:r w:rsidRPr="00326E64">
        <w:rPr>
          <w:rFonts w:ascii="Times New Roman" w:eastAsia="Calibri" w:hAnsi="Times New Roman" w:cs="Times New Roman"/>
          <w:u w:val="single"/>
        </w:rPr>
        <w:tab/>
        <w:t>in addition to the label requirements in Subclauses 1.b.i.(a)-(h) of this Subsection, the label or information sheet that shall accompany all compost sold or given away either in bulk or in a bag or other container, are required to contain the following information:</w:t>
      </w:r>
    </w:p>
    <w:p w14:paraId="012D296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soluble salt content;</w:t>
      </w:r>
    </w:p>
    <w:p w14:paraId="3C992B9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water holding capacity;</w:t>
      </w:r>
    </w:p>
    <w:p w14:paraId="5B2AAA1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bulk density (lbs/yd3);</w:t>
      </w:r>
    </w:p>
    <w:p w14:paraId="0ECBC59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(iv).</w:t>
      </w:r>
      <w:r w:rsidRPr="00326E64">
        <w:rPr>
          <w:rFonts w:ascii="Times New Roman" w:eastAsia="Calibri" w:hAnsi="Times New Roman" w:cs="Times New Roman"/>
          <w:u w:val="single"/>
        </w:rPr>
        <w:tab/>
        <w:t xml:space="preserve">particle size; </w:t>
      </w:r>
    </w:p>
    <w:p w14:paraId="3A68032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(v).</w:t>
      </w:r>
      <w:r w:rsidRPr="00326E64">
        <w:rPr>
          <w:rFonts w:ascii="Times New Roman" w:eastAsia="Calibri" w:hAnsi="Times New Roman" w:cs="Times New Roman"/>
          <w:u w:val="single"/>
        </w:rPr>
        <w:tab/>
        <w:t>moisture content; and</w:t>
      </w:r>
    </w:p>
    <w:p w14:paraId="434DCC1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(vi).</w:t>
      </w:r>
      <w:r w:rsidRPr="00326E64">
        <w:rPr>
          <w:rFonts w:ascii="Times New Roman" w:eastAsia="Calibri" w:hAnsi="Times New Roman" w:cs="Times New Roman"/>
          <w:u w:val="single"/>
        </w:rPr>
        <w:tab/>
        <w:t>percent organic matter content.</w:t>
      </w:r>
    </w:p>
    <w:p w14:paraId="1A9AFE1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samples required to be collected in accordance with Subclauses 1.b.i.(a)-(c) of this Subsection shall be from at least four representative samplings of the biosolids taken at least 60 days apart within the 12 months prior to the date of the submittal of the sewage sludge and biosolids use or disposal permit application form;</w:t>
      </w:r>
    </w:p>
    <w:p w14:paraId="4712CEF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(j).</w:t>
      </w:r>
      <w:r w:rsidRPr="00326E64">
        <w:rPr>
          <w:rFonts w:ascii="Times New Roman" w:eastAsia="Calibri" w:hAnsi="Times New Roman" w:cs="Times New Roman"/>
          <w:u w:val="single"/>
        </w:rPr>
        <w:tab/>
        <w:t xml:space="preserve">for the term of the permit, the preparer of the Exceptional Quality biosolids shall conduct continued sampling at a frequency of monitoring indicated in Table 6 of LAC 33:IX.7303.F. The samples shall be analyzed for the parameters </w:t>
      </w:r>
      <w:r w:rsidRPr="00326E64">
        <w:rPr>
          <w:rFonts w:ascii="Times New Roman" w:eastAsia="Calibri" w:hAnsi="Times New Roman" w:cs="Times New Roman"/>
          <w:u w:val="single"/>
        </w:rPr>
        <w:lastRenderedPageBreak/>
        <w:t>specified in Subclauses 1.b.i.(a)-(c) of this Subsection, and for the pathogen and vector attraction reduction requirements in Subclauses 1.b.i.(d) and (e) of this Subsection, as required by LAC 33:IX.7309.</w:t>
      </w:r>
    </w:p>
    <w:p w14:paraId="379A90F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Pollutant Limits—Exceptional Quality Biosolids</w:t>
      </w:r>
    </w:p>
    <w:p w14:paraId="3FB7B57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Exceptional Quality biosolids sold or given away in a bag or other container shall not be applied to the land if the concentration of any pollutant in the biosolids exceeds the ceiling concentration for the pollutant in Table 1 of LAC 33:IX.7303.F.</w:t>
      </w:r>
    </w:p>
    <w:p w14:paraId="05B93B0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If Exceptional Quality biosolids are applied to agricultural land, forest, a public contact site, or a reclamation site, either:</w:t>
      </w:r>
    </w:p>
    <w:p w14:paraId="2E1A0FC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cumulative loading rate for each pollutant in the Exceptional Quality biosolids shall not exceed the cumulative pollutant loading rate for the pollutant in Table 2 of LAC 33:IX.7303.F; or</w:t>
      </w:r>
    </w:p>
    <w:p w14:paraId="38DBFA6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the concentration of each pollutant in the Exceptional Quality biosolids shall not exceed the concentration for the pollutant in Table 3 of LAC 33:IX.7303.F.</w:t>
      </w:r>
    </w:p>
    <w:p w14:paraId="6A22AC6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If Exceptional Quality biosolids are applied to a lawn or a home garden, the concentration of each pollutant in the biosolids shall not exceed the ceiling concentrations in Table 1 of LAC 33:IX.7303.F and the pollutant concentrations for each pollutant listed in Table 3 of LAC 33:IX.7303.F, and the concentration of PCBs must be less than 10 mg/kg of total solids (dry wt.).</w:t>
      </w:r>
    </w:p>
    <w:p w14:paraId="4F3C6A2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iv.</w:t>
      </w:r>
      <w:r w:rsidRPr="00326E64">
        <w:rPr>
          <w:rFonts w:ascii="Times New Roman" w:eastAsia="Calibri" w:hAnsi="Times New Roman" w:cs="Times New Roman"/>
          <w:u w:val="single"/>
        </w:rPr>
        <w:tab/>
        <w:t>If Exceptional Quality biosolids are sold or given away in a bag or other container for application to the land, either:</w:t>
      </w:r>
    </w:p>
    <w:p w14:paraId="5BC0E3E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concentration of each pollutant in the Exceptional Quality biosolids shall not exceed the ceiling concentration for the pollutant in Table 1 of LAC 33:IX.7303.F and the concentration for the pollutant in Table 3 of LAC 33:IX.7303.F, and the concentration of PCBs must be less than 10 mg/kg of total solids (dry wt.); or</w:t>
      </w:r>
    </w:p>
    <w:p w14:paraId="11F42CA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the product of the concentration of each pollutant in the Exceptional Quality biosolids and the annual whole biosolids application rate for the biosolids shall not cause the annual pollutant loading rate for the pollutant in Table 4 of LAC 33:IX.7303.F to be exceeded, and the concentration of PCBs must be less than 10 mg/kg of total solids (dry wt.). The procedure used to determine the annual whole biosolids application rate is presented in LAC 33:IX.7397.Appendix A.</w:t>
      </w:r>
    </w:p>
    <w:p w14:paraId="5F61AF5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2.</w:t>
      </w:r>
      <w:r w:rsidRPr="00326E64">
        <w:rPr>
          <w:rFonts w:ascii="Times New Roman" w:eastAsia="Calibri" w:hAnsi="Times New Roman" w:cs="Times New Roman"/>
          <w:u w:val="single"/>
        </w:rPr>
        <w:tab/>
        <w:t>Pollutant Concentrations and Loading Rates—Exceptional Quality Biosolids</w:t>
      </w:r>
    </w:p>
    <w:p w14:paraId="418FE6E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administrative authority may require that the Exceptional Quality biosolids meet more stringent pollutant limits or limits for additional pollutants than those listed in the Tables 1-4 of LAC 33:IX.7303.F on a case-by-case basis after determining that the more stringent pollutant limits or limits for additional pollutants are needed to protect human health and the environment from any reasonably anticipated adverse effect that may occur from the application of the biosolids to the land.</w:t>
      </w:r>
    </w:p>
    <w:p w14:paraId="48993CE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3.</w:t>
      </w:r>
      <w:r w:rsidRPr="00326E64">
        <w:rPr>
          <w:rFonts w:ascii="Times New Roman" w:eastAsia="Calibri" w:hAnsi="Times New Roman" w:cs="Times New Roman"/>
          <w:u w:val="single"/>
        </w:rPr>
        <w:tab/>
        <w:t>Operational Standards for Exceptional Quality Biosolids―Pathogens and Vector Attraction Reduction</w:t>
      </w:r>
    </w:p>
    <w:p w14:paraId="39C12FD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Pathogens</w:t>
      </w:r>
    </w:p>
    <w:p w14:paraId="4356575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Exceptional Quality biosolids pathogen requirements in LAC 33:IX.7309.C.1 shall be met when biosolids are applied to agricultural land, forest, a public contact site, or a reclamation site.</w:t>
      </w:r>
    </w:p>
    <w:p w14:paraId="6260F8C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The Exceptional Quality biosolids pathogen requirements in LAC 33:IX.7309.C.1 shall be met when biosolids are applied to a lawn or a home garden.</w:t>
      </w:r>
    </w:p>
    <w:p w14:paraId="3D3493C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The Exceptional Quality biosolids pathogen requirements in LAC 33:IX.7309.C.1 shall be met when biosolids are sold or given away in a bag or other container for application to the land.</w:t>
      </w:r>
    </w:p>
    <w:p w14:paraId="2517117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Vector Attraction Reduction</w:t>
      </w:r>
    </w:p>
    <w:p w14:paraId="0104DA1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One of the vector attraction reduction requirements in LAC 33:IX.7309.E.2.a-g shall be met when Exceptional Quality biosolids are applied to agricultural land, forest, a public contact site, or a reclamation site.</w:t>
      </w:r>
    </w:p>
    <w:p w14:paraId="322F8D7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One of the vector attraction reduction requirements in LAC 33:IX.7309.E.2.a-e shall be met when Exceptional Quality biosolids are applied to a lawn or a home garden.</w:t>
      </w:r>
    </w:p>
    <w:p w14:paraId="65537B7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One of the vector attraction reduction requirements in LAC 33:IX.7309.E.2.a-e shall be met when Exceptional Quality biosolids are sold or given away in a bag or other container for application to the land.</w:t>
      </w:r>
    </w:p>
    <w:p w14:paraId="4EB3F95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4.</w:t>
      </w:r>
      <w:r w:rsidRPr="00326E64">
        <w:rPr>
          <w:rFonts w:ascii="Times New Roman" w:eastAsia="Calibri" w:hAnsi="Times New Roman" w:cs="Times New Roman"/>
          <w:u w:val="single"/>
        </w:rPr>
        <w:tab/>
        <w:t>Frequency of Monitoring. The frequency of monitoring for the pollutants listed in Tables 1-4 of LAC 33:IX.7303.F; the frequency of monitoring for pathogen density requirements in LAC 33:IX.7309.C.1; and the frequency of monitoring for vector attraction reduction requirements in LAC 33:IX.7309.E.a-e shall be the frequency specified in Table 6 of LAC 33:IX.7303.F.</w:t>
      </w:r>
    </w:p>
    <w:p w14:paraId="6970E82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u w:val="single"/>
        </w:rPr>
        <w:t>5.</w:t>
      </w:r>
      <w:r w:rsidRPr="00326E64">
        <w:rPr>
          <w:rFonts w:ascii="Times New Roman" w:eastAsia="Calibri" w:hAnsi="Times New Roman" w:cs="Times New Roman"/>
          <w:u w:val="single"/>
        </w:rPr>
        <w:tab/>
        <w:t>Recordkeeping</w:t>
      </w:r>
    </w:p>
    <w:p w14:paraId="2B8600F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 xml:space="preserve">All </w:t>
      </w:r>
      <w:r w:rsidRPr="00326E64">
        <w:rPr>
          <w:rFonts w:ascii="Times New Roman" w:eastAsia="Calibri" w:hAnsi="Times New Roman" w:cs="Times New Roman"/>
          <w:i/>
          <w:u w:val="single"/>
        </w:rPr>
        <w:t>Class I sludge management facilities</w:t>
      </w:r>
      <w:r w:rsidRPr="00326E64">
        <w:rPr>
          <w:rFonts w:ascii="Times New Roman" w:eastAsia="Calibri" w:hAnsi="Times New Roman" w:cs="Times New Roman"/>
          <w:u w:val="single"/>
        </w:rPr>
        <w:t>, as defined in LAC 33:IX.7301.B, that prepare Exceptional Quality biosolids shall keep a record of the following for a period of five years:</w:t>
      </w:r>
    </w:p>
    <w:p w14:paraId="4EDF1E4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annual production of Exceptional Quality biosolids (i.e., dry tons or dry metric tons); and</w:t>
      </w:r>
    </w:p>
    <w:p w14:paraId="609965E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the sewage sludge/biosolids management practice used;</w:t>
      </w:r>
    </w:p>
    <w:p w14:paraId="77E64BA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sampling results for hazardous characteristics; and</w:t>
      </w:r>
    </w:p>
    <w:p w14:paraId="58F0C9CA"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iv.</w:t>
      </w:r>
      <w:r w:rsidRPr="00326E64">
        <w:rPr>
          <w:rFonts w:ascii="Times New Roman" w:eastAsia="Calibri" w:hAnsi="Times New Roman" w:cs="Times New Roman"/>
          <w:u w:val="single"/>
        </w:rPr>
        <w:tab/>
        <w:t>sampling results for PCBs.</w:t>
      </w:r>
    </w:p>
    <w:p w14:paraId="287A23ED" w14:textId="77777777" w:rsidR="00326E64" w:rsidRPr="00326E64" w:rsidRDefault="00326E64" w:rsidP="00326E64">
      <w:pPr>
        <w:spacing w:line="480" w:lineRule="auto"/>
        <w:ind w:left="720" w:right="720"/>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Additional Recordkeeping</w:t>
      </w:r>
    </w:p>
    <w:p w14:paraId="70C0F0E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person who prepares the Exceptional Quality biosolids shall develop and retain the following information for five years:</w:t>
      </w:r>
    </w:p>
    <w:p w14:paraId="34E66B1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results of the sample analysis required in Subclause 1.b.i.(j) of this Subsection;</w:t>
      </w:r>
    </w:p>
    <w:p w14:paraId="06A637F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For Exceptional Quality biosolids that are applied to agricultural land, forest, a public contact site, or a reclamation site and that meet the pollutant concentrations in Table 3 of LAC 33:IX.7303.F, the Exceptional Quality biosolids pathogen requirements in LAC 33:IX.7309.C.1, and the vector attraction reduction requirements in either LAC 33:IX.7309.E.2.f or g:</w:t>
      </w:r>
    </w:p>
    <w:p w14:paraId="31BE52A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person who prepares the Exceptional Quality biosolids shall develop and retain the following information for five years:</w:t>
      </w:r>
    </w:p>
    <w:p w14:paraId="6D74B80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concentration of each pollutant listed in Table 3 of LAC 33:IX.7303.F;</w:t>
      </w:r>
    </w:p>
    <w:p w14:paraId="31C5316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a description of how the Exceptional Quality biosolids pathogen requirements in LAC 33:IX.7309.C.1 are met;</w:t>
      </w:r>
    </w:p>
    <w:p w14:paraId="7504E0E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For Exceptional Quality biosolids applied to the land that is agricultural land, forest, a public contact site, or a reclamation site whose cumulative loading rate for each pollutant does not exceed the cumulative pollutant loading rate for each pollutant in Table 2 of LAC 33:IX.7303.F and that meet the Exceptional Quality biosolids pathogen requirements in LAC 33:IX.7309.C.1, and the vector attraction reduction requirements in LAC 33:IX.7309.E.2.a-g:</w:t>
      </w:r>
    </w:p>
    <w:p w14:paraId="57350FB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person who prepares the Exceptional Quality biosolids shall develop and retain the following information for five years:</w:t>
      </w:r>
    </w:p>
    <w:p w14:paraId="29A93EB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concentration of each pollutant listed in Table 1 of LAC 33:IX.7303.F in the Exceptional Quality biosolids;</w:t>
      </w:r>
    </w:p>
    <w:p w14:paraId="5CD6EA4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a description of how the Exceptional Quality biosolids pathogen requirements in LAC 33:IX.7309.C.1 are met;</w:t>
      </w:r>
    </w:p>
    <w:p w14:paraId="3BE5DDA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a description of how one of the vector attraction reduction requirements in LAC 33:IX.7309.E.2.a-g is met; and</w:t>
      </w:r>
    </w:p>
    <w:p w14:paraId="7C74931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iv.</w:t>
      </w:r>
      <w:r w:rsidRPr="00326E64">
        <w:rPr>
          <w:rFonts w:ascii="Times New Roman" w:eastAsia="Calibri" w:hAnsi="Times New Roman" w:cs="Times New Roman"/>
          <w:u w:val="single"/>
        </w:rPr>
        <w:tab/>
        <w:t>For Exceptional Quality biosolids sold or given away in a bag or other container for application to the land meeting the requirement at Subclause E.1.c.iv.(b) of this Subsection, the Exceptional Quality biosolids pathogen requirements at LAC 33:IX.7309.C.1, and the vector attraction reduction requirements in LAC 33:IX.7309.E.2.a-g:</w:t>
      </w:r>
    </w:p>
    <w:p w14:paraId="1F3D157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person who prepares the Exceptional Quality biosolids that are sold or given away in a bag or other container shall develop and retain the following information for five years:</w:t>
      </w:r>
    </w:p>
    <w:p w14:paraId="056CF37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annual whole biosolids application rate for the Exceptional Quality biosolids that does not cause the annual pollutant loading rates in Table 4 of LAC 33:IX.7303.F to be exceeded;</w:t>
      </w:r>
    </w:p>
    <w:p w14:paraId="3FC4B40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the concentration of each pollutant listed in Table 3 of LAC 33:IX.7303.F in the biosolids;</w:t>
      </w:r>
    </w:p>
    <w:p w14:paraId="783C742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a description of how the Exceptional Quality biosolids pathogen requirements in LAC 33:IX.7309.C.1 are met;</w:t>
      </w:r>
    </w:p>
    <w:p w14:paraId="4240A15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(iv).</w:t>
      </w:r>
      <w:r w:rsidRPr="00326E64">
        <w:rPr>
          <w:rFonts w:ascii="Times New Roman" w:eastAsia="Calibri" w:hAnsi="Times New Roman" w:cs="Times New Roman"/>
          <w:u w:val="single"/>
        </w:rPr>
        <w:tab/>
        <w:t>a description of how one of the vector attraction reduction requirements in LAC 33:IX.7309.E.2.a-g is met;</w:t>
      </w:r>
    </w:p>
    <w:p w14:paraId="447A175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(v).</w:t>
      </w:r>
      <w:r w:rsidRPr="00326E64">
        <w:rPr>
          <w:rFonts w:ascii="Times New Roman" w:eastAsia="Calibri" w:hAnsi="Times New Roman" w:cs="Times New Roman"/>
          <w:u w:val="single"/>
        </w:rPr>
        <w:tab/>
        <w:t>the permittee shall either affix a label to the bag or other container holding Exceptional Quality biosolids that are sold or given away for application to the land, or provide an information sheet to the person who receives Exceptional Quality biosolids sold or given away in a bag or other container for application to the land.  The label or information sheet shall contain the following information:</w:t>
      </w:r>
    </w:p>
    <w:p w14:paraId="1ADD454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information required in Subclauses 6E.1.b.i.(a)-(f) of this Subsection and if the Exceptional Quality biosolids are compost, the information in Subclauses E.1.b.i.(a)-(h) of this Subsection; and</w:t>
      </w:r>
    </w:p>
    <w:p w14:paraId="35B8BB1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the annual whole biosolids application rate that does not cause any of the annual pollutant loading rates in Table 4 of LAC 33:IX.7303.F to be exceeded.</w:t>
      </w:r>
    </w:p>
    <w:p w14:paraId="0AEE67E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v.</w:t>
      </w:r>
      <w:r w:rsidRPr="00326E64">
        <w:rPr>
          <w:rFonts w:ascii="Times New Roman" w:eastAsia="Calibri" w:hAnsi="Times New Roman" w:cs="Times New Roman"/>
          <w:u w:val="single"/>
        </w:rPr>
        <w:tab/>
        <w:t>the following certification statement:</w:t>
      </w:r>
    </w:p>
    <w:p w14:paraId="7715D1A0" w14:textId="77777777" w:rsidR="00326E64" w:rsidRPr="00326E64" w:rsidRDefault="00326E64" w:rsidP="00326E64">
      <w:pPr>
        <w:spacing w:line="480" w:lineRule="auto"/>
        <w:ind w:left="720" w:right="720"/>
        <w:rPr>
          <w:rFonts w:ascii="Times New Roman" w:eastAsia="Calibri" w:hAnsi="Times New Roman" w:cs="Times New Roman"/>
          <w:u w:val="single"/>
        </w:rPr>
      </w:pPr>
      <w:r w:rsidRPr="00326E64">
        <w:rPr>
          <w:rFonts w:ascii="Times New Roman" w:eastAsia="Calibri" w:hAnsi="Times New Roman" w:cs="Times New Roman"/>
          <w:u w:val="single"/>
        </w:rPr>
        <w:t xml:space="preserve">"I certify, under penalty of law, that the information that will be used to determine compliance with the requirements in Subclauses E.1.b.i.(f)-(g) of this Subsection, </w:t>
      </w:r>
      <w:r w:rsidRPr="00326E64">
        <w:rPr>
          <w:rFonts w:ascii="Times New Roman" w:eastAsia="Calibri" w:hAnsi="Times New Roman" w:cs="Times New Roman"/>
          <w:u w:val="single"/>
        </w:rPr>
        <w:lastRenderedPageBreak/>
        <w:t>the Exceptional Quality biosolids pathogen requirements in LAC 33:IX.7309.C.1, and the vector attraction reduction requirement in [insert one of the vector attraction reduction requirements in LAC 33:IX.7309.E.2.a-g] was prepared under my direction and supervision in accordance with the system as described in the permit application, designed to ensure that qualified personnel properly gather and evaluate this information. I am aware that there are significant penalties for false certification including the possibility of fine and/or imprisonment."</w:t>
      </w:r>
    </w:p>
    <w:p w14:paraId="1B17E1D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6.</w:t>
      </w:r>
      <w:r w:rsidRPr="00326E64">
        <w:rPr>
          <w:rFonts w:ascii="Times New Roman" w:eastAsia="Calibri" w:hAnsi="Times New Roman" w:cs="Times New Roman"/>
          <w:u w:val="single"/>
        </w:rPr>
        <w:tab/>
        <w:t>Reporting</w:t>
      </w:r>
    </w:p>
    <w:p w14:paraId="7E407CC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 xml:space="preserve">All </w:t>
      </w:r>
      <w:r w:rsidRPr="00326E64">
        <w:rPr>
          <w:rFonts w:ascii="Times New Roman" w:eastAsia="Calibri" w:hAnsi="Times New Roman" w:cs="Times New Roman"/>
          <w:i/>
          <w:u w:val="single"/>
        </w:rPr>
        <w:t>Class I sludge management facilities</w:t>
      </w:r>
      <w:r w:rsidRPr="00326E64">
        <w:rPr>
          <w:rFonts w:ascii="Times New Roman" w:eastAsia="Calibri" w:hAnsi="Times New Roman" w:cs="Times New Roman"/>
          <w:u w:val="single"/>
        </w:rPr>
        <w:t>, as defined in LAC 33:IX.7301.B, that prepare Exceptional Quality biosolids shall submit the information in Subparagraph 5.a of this Subsection to the administrative authority on or before February 19 of each year.</w:t>
      </w:r>
    </w:p>
    <w:p w14:paraId="0AFFBF8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Additional Reporting Requirements</w:t>
      </w:r>
    </w:p>
    <w:p w14:paraId="1064556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Calibri" w:eastAsia="Calibri" w:hAnsi="Calibri" w:cs="Times New Roman"/>
          <w:sz w:val="22"/>
          <w:szCs w:val="22"/>
        </w:rPr>
        <w:tab/>
      </w:r>
      <w:r w:rsidRPr="00326E64">
        <w:rPr>
          <w:rFonts w:ascii="Calibri" w:eastAsia="Calibri" w:hAnsi="Calibri" w:cs="Times New Roman"/>
          <w:sz w:val="22"/>
          <w:szCs w:val="22"/>
        </w:rPr>
        <w:tab/>
      </w:r>
      <w:r w:rsidRPr="00326E64">
        <w:rPr>
          <w:rFonts w:ascii="Calibri" w:eastAsia="Calibri" w:hAnsi="Calibri" w:cs="Times New Roman"/>
          <w:sz w:val="22"/>
          <w:szCs w:val="22"/>
        </w:rPr>
        <w:tab/>
      </w:r>
      <w:r w:rsidRPr="00326E64">
        <w:rPr>
          <w:rFonts w:ascii="Calibri" w:eastAsia="Calibri" w:hAnsi="Calibri" w:cs="Times New Roman"/>
          <w:sz w:val="22"/>
          <w:szCs w:val="22"/>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The person who prepares the biosolids shall develop and retain the following information for five years:</w:t>
      </w:r>
    </w:p>
    <w:p w14:paraId="742BEC7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results of the sample analysis required in Subclause E.1.b.i.(a)-(c) of this Section; and</w:t>
      </w:r>
    </w:p>
    <w:p w14:paraId="541C3C1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the following certification statement:</w:t>
      </w:r>
    </w:p>
    <w:p w14:paraId="5A3B3A77" w14:textId="77777777" w:rsidR="00326E64" w:rsidRPr="00326E64" w:rsidRDefault="00326E64" w:rsidP="00326E64">
      <w:pPr>
        <w:spacing w:line="480" w:lineRule="auto"/>
        <w:ind w:left="720" w:right="720"/>
        <w:rPr>
          <w:rFonts w:ascii="Times New Roman" w:eastAsia="Calibri" w:hAnsi="Times New Roman" w:cs="Times New Roman"/>
          <w:u w:val="single"/>
        </w:rPr>
      </w:pPr>
      <w:r w:rsidRPr="00326E64">
        <w:rPr>
          <w:rFonts w:ascii="Times New Roman" w:eastAsia="Calibri" w:hAnsi="Times New Roman" w:cs="Times New Roman"/>
          <w:u w:val="single"/>
        </w:rPr>
        <w:t xml:space="preserve">"I certify, under penalty of law, that the information that will be used to determine compliance with the Exceptional Quality biosolids pathogen requirements in LAC 33:IX.7309.C.1 and the vector attraction reduction requirement in [insert one of the vector attraction reduction requirements in LAC 33:IX.7309.E.2.a-g] was prepared under my direction and supervision in accordance with the system as </w:t>
      </w:r>
      <w:r w:rsidRPr="00326E64">
        <w:rPr>
          <w:rFonts w:ascii="Times New Roman" w:eastAsia="Calibri" w:hAnsi="Times New Roman" w:cs="Times New Roman"/>
          <w:u w:val="single"/>
        </w:rPr>
        <w:lastRenderedPageBreak/>
        <w:t>described in the permit application, designed to ensure that qualified personnel properly gather and evaluate this information. I am aware that there are significant penalties for false certification including the possibility of fine and imprisonment."</w:t>
      </w:r>
    </w:p>
    <w:p w14:paraId="2D3ED2D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The person who prepares Exceptional Quality biosolids shall forward the information required in Clause 6.b.i of this Subsection to the administrative authority as follows.</w:t>
      </w:r>
    </w:p>
    <w:p w14:paraId="5E2AE28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For facilities having a frequency of monitoring in Table 6 of LAC 33:IX.7303.F of once per quarter (four times per year), the reporting periods and the report due dates shall be as specified in Table 8 of LAC 33:IX.7303.F.</w:t>
      </w:r>
    </w:p>
    <w:p w14:paraId="2E42761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For facilities having a frequency of monitoring in Table 6 of LAC 33:IX.7303.F of once per month (12 times per year), the reporting periods and the report due dates shall be as specified in Table 10 of LAC 33:IX.7303.F.</w:t>
      </w:r>
    </w:p>
    <w:p w14:paraId="46B9510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7.</w:t>
      </w:r>
      <w:r w:rsidRPr="00326E64">
        <w:rPr>
          <w:rFonts w:ascii="Times New Roman" w:eastAsia="Calibri" w:hAnsi="Times New Roman" w:cs="Times New Roman"/>
          <w:u w:val="single"/>
        </w:rPr>
        <w:tab/>
        <w:t>Any person subject to these regulations who prepares Exceptional Quality biosolids may petition the administrative authority to allow the land application of Exceptional Quality biosolids that is mixed with grease that was pumped or removed from a food service facility.</w:t>
      </w:r>
    </w:p>
    <w:p w14:paraId="4E658ED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administrative authority may grant conditional approval for the land application of Exceptional Quality biosolids that are mixed with grease that was pumped or removed from a food service facility, along with the appropriate monitoring, sampling and analysis, recordkeeping, and reporting requirements, when petitions for such are deemed appropriate after consideration of the factors enumerated in Subparagraph 1.b of this Subsection as well as any other pertinent factors.</w:t>
      </w:r>
    </w:p>
    <w:p w14:paraId="2925DB7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Each petition for the allowance of land application of Exceptional Quality biosolids that are mixed with grease that was pumped or removed from a food service facility shall:</w:t>
      </w:r>
    </w:p>
    <w:p w14:paraId="2C62679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be submitted in writing to the administrative authority; and</w:t>
      </w:r>
    </w:p>
    <w:p w14:paraId="562DA8A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be accompanied by evidence of public notice in the state and local journal containing the following information:</w:t>
      </w:r>
    </w:p>
    <w:p w14:paraId="30AC1ED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documentation to prove that the preparation or treatment process will be a composting process to further reduce pathogens described in LAC 33:IX.7309.D.2;</w:t>
      </w:r>
    </w:p>
    <w:p w14:paraId="5627972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documentation to satisfy the requirements in Subparagraph 1.b of this Subsection and LAC 33:IX.7305.</w:t>
      </w:r>
    </w:p>
    <w:p w14:paraId="47DDF7AD"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If the owner/operator wishes to continue operation of the compost facility, he or she shall submit to the administrative authority a completed permit application for use or disposal of sewage sludge and biosolids at least 180 days prior to the expiration date of the approval. The decision to grant or deny a permit for continuation of the compost operation shall be based on:</w:t>
      </w:r>
    </w:p>
    <w:p w14:paraId="29737926" w14:textId="77777777" w:rsidR="00326E64" w:rsidRPr="00326E64" w:rsidRDefault="00326E64" w:rsidP="00326E64">
      <w:pPr>
        <w:spacing w:line="480" w:lineRule="auto"/>
        <w:ind w:firstLine="2880"/>
        <w:rPr>
          <w:rFonts w:ascii="Times New Roman" w:eastAsia="Calibri" w:hAnsi="Times New Roman" w:cs="Times New Roman"/>
          <w:u w:val="single"/>
        </w:rPr>
      </w:pP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 xml:space="preserve">the information provided in the permit application; </w:t>
      </w:r>
    </w:p>
    <w:p w14:paraId="4DFB5D5A" w14:textId="77777777" w:rsidR="00326E64" w:rsidRPr="00326E64" w:rsidRDefault="00326E64" w:rsidP="00326E64">
      <w:pPr>
        <w:spacing w:line="480" w:lineRule="auto"/>
        <w:ind w:firstLine="2880"/>
        <w:rPr>
          <w:rFonts w:ascii="Times New Roman" w:eastAsia="Calibri" w:hAnsi="Times New Roman" w:cs="Times New Roman"/>
          <w:u w:val="single"/>
        </w:rPr>
      </w:pP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 xml:space="preserve">the monitoring and sampling and analysis results submitted during the conditional approval period; and </w:t>
      </w:r>
    </w:p>
    <w:p w14:paraId="3F392887" w14:textId="77777777" w:rsidR="00326E64" w:rsidRPr="00326E64" w:rsidRDefault="00326E64" w:rsidP="00326E64">
      <w:pPr>
        <w:spacing w:line="480" w:lineRule="auto"/>
        <w:ind w:firstLine="2880"/>
        <w:rPr>
          <w:rFonts w:ascii="Times New Roman" w:eastAsia="Calibri" w:hAnsi="Times New Roman" w:cs="Times New Roman"/>
        </w:rPr>
      </w:pPr>
      <w:r w:rsidRPr="00326E64">
        <w:rPr>
          <w:rFonts w:ascii="Times New Roman" w:eastAsia="Calibri" w:hAnsi="Times New Roman" w:cs="Times New Roman"/>
          <w:u w:val="single"/>
        </w:rPr>
        <w:t>iii.</w:t>
      </w:r>
      <w:r w:rsidRPr="00326E64">
        <w:rPr>
          <w:rFonts w:ascii="Times New Roman" w:eastAsia="Calibri" w:hAnsi="Times New Roman" w:cs="Times New Roman"/>
          <w:u w:val="single"/>
        </w:rPr>
        <w:tab/>
        <w:t>any comments or other information received during the one-year approval period or during the standard permit public notice period.</w:t>
      </w:r>
    </w:p>
    <w:p w14:paraId="0ED48CED"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u w:val="single"/>
        </w:rPr>
        <w:t>F.</w:t>
      </w:r>
      <w:r w:rsidRPr="00326E64">
        <w:rPr>
          <w:rFonts w:ascii="Times New Roman" w:eastAsia="Calibri" w:hAnsi="Times New Roman" w:cs="Times New Roman"/>
          <w:u w:val="single"/>
        </w:rPr>
        <w:tab/>
        <w:t>Reference Tables for Preparation and Land Application of Biosolids</w:t>
      </w:r>
    </w:p>
    <w:p w14:paraId="0B2F175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1.</w:t>
      </w:r>
      <w:r w:rsidRPr="00326E64">
        <w:rPr>
          <w:rFonts w:ascii="Times New Roman" w:eastAsia="Calibri" w:hAnsi="Times New Roman" w:cs="Times New Roman"/>
          <w:u w:val="single"/>
        </w:rPr>
        <w:tab/>
        <w:t>Table 1—Ceiling Concentrations</w:t>
      </w:r>
    </w:p>
    <w:tbl>
      <w:tblPr>
        <w:tblW w:w="7110" w:type="dxa"/>
        <w:tblInd w:w="213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037"/>
        <w:gridCol w:w="4073"/>
      </w:tblGrid>
      <w:tr w:rsidR="00326E64" w:rsidRPr="00326E64" w14:paraId="62AC20D3" w14:textId="77777777" w:rsidTr="00A54079">
        <w:trPr>
          <w:cantSplit/>
          <w:tblHeader/>
        </w:trPr>
        <w:tc>
          <w:tcPr>
            <w:tcW w:w="7110" w:type="dxa"/>
            <w:gridSpan w:val="2"/>
            <w:tcBorders>
              <w:top w:val="double" w:sz="6" w:space="0" w:color="auto"/>
              <w:bottom w:val="single" w:sz="6" w:space="0" w:color="auto"/>
            </w:tcBorders>
            <w:shd w:val="clear" w:color="auto" w:fill="auto"/>
          </w:tcPr>
          <w:p w14:paraId="289E799C"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lastRenderedPageBreak/>
              <w:t>Table 1 of LAC 33:IX.7303.F</w:t>
            </w:r>
          </w:p>
        </w:tc>
      </w:tr>
      <w:tr w:rsidR="00326E64" w:rsidRPr="00326E64" w14:paraId="01ED7F2A" w14:textId="77777777" w:rsidTr="00A54079">
        <w:trPr>
          <w:cantSplit/>
          <w:tblHeader/>
        </w:trPr>
        <w:tc>
          <w:tcPr>
            <w:tcW w:w="7110" w:type="dxa"/>
            <w:gridSpan w:val="2"/>
            <w:tcBorders>
              <w:top w:val="single" w:sz="6" w:space="0" w:color="auto"/>
              <w:bottom w:val="single" w:sz="6" w:space="0" w:color="auto"/>
            </w:tcBorders>
            <w:shd w:val="clear" w:color="auto" w:fill="auto"/>
          </w:tcPr>
          <w:p w14:paraId="00741F9D"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Ceiling Concentrations</w:t>
            </w:r>
          </w:p>
        </w:tc>
      </w:tr>
      <w:tr w:rsidR="00326E64" w:rsidRPr="00326E64" w14:paraId="283003B9" w14:textId="77777777" w:rsidTr="00A54079">
        <w:trPr>
          <w:cantSplit/>
          <w:tblHeader/>
        </w:trPr>
        <w:tc>
          <w:tcPr>
            <w:tcW w:w="3037" w:type="dxa"/>
            <w:tcBorders>
              <w:top w:val="single" w:sz="6" w:space="0" w:color="auto"/>
              <w:bottom w:val="single" w:sz="6" w:space="0" w:color="auto"/>
            </w:tcBorders>
            <w:shd w:val="clear" w:color="auto" w:fill="auto"/>
            <w:vAlign w:val="center"/>
          </w:tcPr>
          <w:p w14:paraId="0F34196C"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Pollutant</w:t>
            </w:r>
          </w:p>
        </w:tc>
        <w:tc>
          <w:tcPr>
            <w:tcW w:w="4073" w:type="dxa"/>
            <w:tcBorders>
              <w:top w:val="single" w:sz="6" w:space="0" w:color="auto"/>
              <w:bottom w:val="single" w:sz="6" w:space="0" w:color="auto"/>
            </w:tcBorders>
            <w:shd w:val="clear" w:color="auto" w:fill="auto"/>
            <w:vAlign w:val="center"/>
          </w:tcPr>
          <w:p w14:paraId="5CBFF4D2"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Ceiling Concentration</w:t>
            </w:r>
          </w:p>
          <w:p w14:paraId="4B2010C4"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(milligrams per kilogram)</w:t>
            </w:r>
            <w:r w:rsidRPr="00326E64">
              <w:rPr>
                <w:rFonts w:ascii="Times New Roman" w:eastAsia="Calibri" w:hAnsi="Times New Roman" w:cs="Times New Roman"/>
                <w:b/>
                <w:u w:val="single"/>
                <w:vertAlign w:val="superscript"/>
              </w:rPr>
              <w:t>1</w:t>
            </w:r>
          </w:p>
        </w:tc>
      </w:tr>
      <w:tr w:rsidR="00326E64" w:rsidRPr="00326E64" w14:paraId="3414C26B" w14:textId="77777777" w:rsidTr="00A54079">
        <w:trPr>
          <w:cantSplit/>
        </w:trPr>
        <w:tc>
          <w:tcPr>
            <w:tcW w:w="3037" w:type="dxa"/>
            <w:tcBorders>
              <w:top w:val="single" w:sz="6" w:space="0" w:color="auto"/>
            </w:tcBorders>
          </w:tcPr>
          <w:p w14:paraId="550BA5D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Arsenic</w:t>
            </w:r>
          </w:p>
        </w:tc>
        <w:tc>
          <w:tcPr>
            <w:tcW w:w="4073" w:type="dxa"/>
            <w:tcBorders>
              <w:top w:val="single" w:sz="6" w:space="0" w:color="auto"/>
            </w:tcBorders>
          </w:tcPr>
          <w:p w14:paraId="3AE6674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75</w:t>
            </w:r>
          </w:p>
        </w:tc>
      </w:tr>
      <w:tr w:rsidR="00326E64" w:rsidRPr="00326E64" w14:paraId="73D28F5A" w14:textId="77777777" w:rsidTr="00A54079">
        <w:trPr>
          <w:cantSplit/>
          <w:trHeight w:val="183"/>
        </w:trPr>
        <w:tc>
          <w:tcPr>
            <w:tcW w:w="3037" w:type="dxa"/>
          </w:tcPr>
          <w:p w14:paraId="1B73627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Cadmium</w:t>
            </w:r>
          </w:p>
        </w:tc>
        <w:tc>
          <w:tcPr>
            <w:tcW w:w="4073" w:type="dxa"/>
          </w:tcPr>
          <w:p w14:paraId="3495D9D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85</w:t>
            </w:r>
          </w:p>
        </w:tc>
      </w:tr>
      <w:tr w:rsidR="00326E64" w:rsidRPr="00326E64" w14:paraId="7FB7713C" w14:textId="77777777" w:rsidTr="00A54079">
        <w:trPr>
          <w:cantSplit/>
        </w:trPr>
        <w:tc>
          <w:tcPr>
            <w:tcW w:w="3037" w:type="dxa"/>
          </w:tcPr>
          <w:p w14:paraId="6FD25AC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Copper</w:t>
            </w:r>
          </w:p>
        </w:tc>
        <w:tc>
          <w:tcPr>
            <w:tcW w:w="4073" w:type="dxa"/>
          </w:tcPr>
          <w:p w14:paraId="73F100C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4300</w:t>
            </w:r>
          </w:p>
        </w:tc>
      </w:tr>
      <w:tr w:rsidR="00326E64" w:rsidRPr="00326E64" w14:paraId="193F32A7" w14:textId="77777777" w:rsidTr="00A54079">
        <w:trPr>
          <w:cantSplit/>
        </w:trPr>
        <w:tc>
          <w:tcPr>
            <w:tcW w:w="3037" w:type="dxa"/>
          </w:tcPr>
          <w:p w14:paraId="3B800BC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Lead</w:t>
            </w:r>
          </w:p>
        </w:tc>
        <w:tc>
          <w:tcPr>
            <w:tcW w:w="4073" w:type="dxa"/>
          </w:tcPr>
          <w:p w14:paraId="3A4F8F7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840</w:t>
            </w:r>
          </w:p>
        </w:tc>
      </w:tr>
      <w:tr w:rsidR="00326E64" w:rsidRPr="00326E64" w14:paraId="4F999870" w14:textId="77777777" w:rsidTr="00A54079">
        <w:trPr>
          <w:cantSplit/>
        </w:trPr>
        <w:tc>
          <w:tcPr>
            <w:tcW w:w="3037" w:type="dxa"/>
          </w:tcPr>
          <w:p w14:paraId="2886FE8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Mercury</w:t>
            </w:r>
          </w:p>
        </w:tc>
        <w:tc>
          <w:tcPr>
            <w:tcW w:w="4073" w:type="dxa"/>
          </w:tcPr>
          <w:p w14:paraId="5DDF039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57</w:t>
            </w:r>
          </w:p>
        </w:tc>
      </w:tr>
      <w:tr w:rsidR="00326E64" w:rsidRPr="00326E64" w14:paraId="748A5653" w14:textId="77777777" w:rsidTr="00A54079">
        <w:trPr>
          <w:cantSplit/>
        </w:trPr>
        <w:tc>
          <w:tcPr>
            <w:tcW w:w="3037" w:type="dxa"/>
          </w:tcPr>
          <w:p w14:paraId="5279DFB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Molybdenum</w:t>
            </w:r>
          </w:p>
        </w:tc>
        <w:tc>
          <w:tcPr>
            <w:tcW w:w="4073" w:type="dxa"/>
          </w:tcPr>
          <w:p w14:paraId="288795C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75</w:t>
            </w:r>
          </w:p>
        </w:tc>
      </w:tr>
      <w:tr w:rsidR="00326E64" w:rsidRPr="00326E64" w14:paraId="06FB507B" w14:textId="77777777" w:rsidTr="00A54079">
        <w:trPr>
          <w:cantSplit/>
        </w:trPr>
        <w:tc>
          <w:tcPr>
            <w:tcW w:w="3037" w:type="dxa"/>
          </w:tcPr>
          <w:p w14:paraId="7A1E963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Nickel</w:t>
            </w:r>
          </w:p>
        </w:tc>
        <w:tc>
          <w:tcPr>
            <w:tcW w:w="4073" w:type="dxa"/>
          </w:tcPr>
          <w:p w14:paraId="0276147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420</w:t>
            </w:r>
          </w:p>
        </w:tc>
      </w:tr>
      <w:tr w:rsidR="00326E64" w:rsidRPr="00326E64" w14:paraId="0D674F63" w14:textId="77777777" w:rsidTr="00A54079">
        <w:trPr>
          <w:cantSplit/>
        </w:trPr>
        <w:tc>
          <w:tcPr>
            <w:tcW w:w="3037" w:type="dxa"/>
          </w:tcPr>
          <w:p w14:paraId="724B23D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Selenium</w:t>
            </w:r>
          </w:p>
        </w:tc>
        <w:tc>
          <w:tcPr>
            <w:tcW w:w="4073" w:type="dxa"/>
          </w:tcPr>
          <w:p w14:paraId="47AB304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100</w:t>
            </w:r>
          </w:p>
        </w:tc>
      </w:tr>
      <w:tr w:rsidR="00326E64" w:rsidRPr="00326E64" w14:paraId="09CBC386" w14:textId="77777777" w:rsidTr="00A54079">
        <w:trPr>
          <w:cantSplit/>
        </w:trPr>
        <w:tc>
          <w:tcPr>
            <w:tcW w:w="3037" w:type="dxa"/>
          </w:tcPr>
          <w:p w14:paraId="4F5D42A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Zinc</w:t>
            </w:r>
          </w:p>
        </w:tc>
        <w:tc>
          <w:tcPr>
            <w:tcW w:w="4073" w:type="dxa"/>
          </w:tcPr>
          <w:p w14:paraId="47D321FD"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7500</w:t>
            </w:r>
          </w:p>
        </w:tc>
      </w:tr>
      <w:tr w:rsidR="00326E64" w:rsidRPr="00326E64" w14:paraId="7389F193" w14:textId="77777777" w:rsidTr="00A54079">
        <w:trPr>
          <w:cantSplit/>
        </w:trPr>
        <w:tc>
          <w:tcPr>
            <w:tcW w:w="7110" w:type="dxa"/>
            <w:gridSpan w:val="2"/>
          </w:tcPr>
          <w:p w14:paraId="6918B2A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vertAlign w:val="superscript"/>
              </w:rPr>
              <w:t>1</w:t>
            </w:r>
            <w:r w:rsidRPr="00326E64">
              <w:rPr>
                <w:rFonts w:ascii="Times New Roman" w:eastAsia="Calibri" w:hAnsi="Times New Roman" w:cs="Times New Roman"/>
                <w:u w:val="single"/>
              </w:rPr>
              <w:t xml:space="preserve"> Dry weight basis</w:t>
            </w:r>
          </w:p>
        </w:tc>
      </w:tr>
    </w:tbl>
    <w:p w14:paraId="0E0596DB" w14:textId="77777777" w:rsidR="00326E64" w:rsidRPr="00326E64" w:rsidRDefault="00326E64" w:rsidP="00326E64">
      <w:pPr>
        <w:spacing w:line="480" w:lineRule="auto"/>
        <w:rPr>
          <w:rFonts w:ascii="Times New Roman" w:eastAsia="Calibri" w:hAnsi="Times New Roman" w:cs="Times New Roman"/>
          <w:u w:val="single"/>
        </w:rPr>
      </w:pPr>
    </w:p>
    <w:p w14:paraId="07790C2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2.</w:t>
      </w:r>
      <w:r w:rsidRPr="00326E64">
        <w:rPr>
          <w:rFonts w:ascii="Times New Roman" w:eastAsia="Calibri" w:hAnsi="Times New Roman" w:cs="Times New Roman"/>
          <w:u w:val="single"/>
        </w:rPr>
        <w:tab/>
        <w:t>Table 2—Cumulative Pollutant Loading Rates</w:t>
      </w:r>
    </w:p>
    <w:tbl>
      <w:tblPr>
        <w:tblW w:w="0" w:type="auto"/>
        <w:tblInd w:w="222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947"/>
        <w:gridCol w:w="4073"/>
      </w:tblGrid>
      <w:tr w:rsidR="00326E64" w:rsidRPr="00326E64" w14:paraId="095B0A9B" w14:textId="77777777" w:rsidTr="00A54079">
        <w:trPr>
          <w:cantSplit/>
          <w:tblHeader/>
        </w:trPr>
        <w:tc>
          <w:tcPr>
            <w:tcW w:w="7020" w:type="dxa"/>
            <w:gridSpan w:val="2"/>
            <w:tcBorders>
              <w:top w:val="double" w:sz="6" w:space="0" w:color="auto"/>
              <w:bottom w:val="single" w:sz="6" w:space="0" w:color="auto"/>
            </w:tcBorders>
            <w:shd w:val="clear" w:color="auto" w:fill="auto"/>
            <w:vAlign w:val="center"/>
          </w:tcPr>
          <w:p w14:paraId="49D4F22A"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Table 2 of LAC 33:IX.7303.F</w:t>
            </w:r>
          </w:p>
        </w:tc>
      </w:tr>
      <w:tr w:rsidR="00326E64" w:rsidRPr="00326E64" w14:paraId="509F0B10" w14:textId="77777777" w:rsidTr="00A54079">
        <w:trPr>
          <w:cantSplit/>
          <w:tblHeader/>
        </w:trPr>
        <w:tc>
          <w:tcPr>
            <w:tcW w:w="7020" w:type="dxa"/>
            <w:gridSpan w:val="2"/>
            <w:tcBorders>
              <w:top w:val="single" w:sz="6" w:space="0" w:color="auto"/>
              <w:bottom w:val="single" w:sz="6" w:space="0" w:color="auto"/>
            </w:tcBorders>
            <w:shd w:val="clear" w:color="auto" w:fill="auto"/>
            <w:vAlign w:val="center"/>
          </w:tcPr>
          <w:p w14:paraId="04B28B84"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Cumulative Pollutant Loading Rates</w:t>
            </w:r>
          </w:p>
        </w:tc>
      </w:tr>
      <w:tr w:rsidR="00326E64" w:rsidRPr="00326E64" w14:paraId="7D1BD3EB" w14:textId="77777777" w:rsidTr="00A54079">
        <w:trPr>
          <w:cantSplit/>
          <w:tblHeader/>
        </w:trPr>
        <w:tc>
          <w:tcPr>
            <w:tcW w:w="2947" w:type="dxa"/>
            <w:tcBorders>
              <w:top w:val="single" w:sz="6" w:space="0" w:color="auto"/>
              <w:bottom w:val="single" w:sz="6" w:space="0" w:color="auto"/>
            </w:tcBorders>
            <w:shd w:val="clear" w:color="auto" w:fill="auto"/>
            <w:vAlign w:val="center"/>
          </w:tcPr>
          <w:p w14:paraId="007842ED"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Pollutant</w:t>
            </w:r>
          </w:p>
        </w:tc>
        <w:tc>
          <w:tcPr>
            <w:tcW w:w="4073" w:type="dxa"/>
            <w:tcBorders>
              <w:top w:val="single" w:sz="6" w:space="0" w:color="auto"/>
              <w:bottom w:val="single" w:sz="6" w:space="0" w:color="auto"/>
            </w:tcBorders>
            <w:shd w:val="clear" w:color="auto" w:fill="auto"/>
            <w:vAlign w:val="center"/>
          </w:tcPr>
          <w:p w14:paraId="20AC36F8"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Cumulative Pollutant Loading Rate</w:t>
            </w:r>
          </w:p>
          <w:p w14:paraId="09C59CC4"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(kilograms per hectare)</w:t>
            </w:r>
          </w:p>
        </w:tc>
      </w:tr>
      <w:tr w:rsidR="00326E64" w:rsidRPr="00326E64" w14:paraId="2D1E266B" w14:textId="77777777" w:rsidTr="00A54079">
        <w:trPr>
          <w:cantSplit/>
        </w:trPr>
        <w:tc>
          <w:tcPr>
            <w:tcW w:w="2947" w:type="dxa"/>
            <w:tcBorders>
              <w:top w:val="single" w:sz="6" w:space="0" w:color="auto"/>
            </w:tcBorders>
          </w:tcPr>
          <w:p w14:paraId="2F9DD63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Arsenic</w:t>
            </w:r>
          </w:p>
        </w:tc>
        <w:tc>
          <w:tcPr>
            <w:tcW w:w="4073" w:type="dxa"/>
            <w:tcBorders>
              <w:top w:val="single" w:sz="6" w:space="0" w:color="auto"/>
            </w:tcBorders>
          </w:tcPr>
          <w:p w14:paraId="552FFD8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41</w:t>
            </w:r>
          </w:p>
        </w:tc>
      </w:tr>
      <w:tr w:rsidR="00326E64" w:rsidRPr="00326E64" w14:paraId="77A73EDC" w14:textId="77777777" w:rsidTr="00A54079">
        <w:trPr>
          <w:cantSplit/>
        </w:trPr>
        <w:tc>
          <w:tcPr>
            <w:tcW w:w="2947" w:type="dxa"/>
          </w:tcPr>
          <w:p w14:paraId="78B4B2C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Cadmium</w:t>
            </w:r>
          </w:p>
        </w:tc>
        <w:tc>
          <w:tcPr>
            <w:tcW w:w="4073" w:type="dxa"/>
          </w:tcPr>
          <w:p w14:paraId="473C842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39</w:t>
            </w:r>
          </w:p>
        </w:tc>
      </w:tr>
      <w:tr w:rsidR="00326E64" w:rsidRPr="00326E64" w14:paraId="11EAE707" w14:textId="77777777" w:rsidTr="00A54079">
        <w:trPr>
          <w:cantSplit/>
        </w:trPr>
        <w:tc>
          <w:tcPr>
            <w:tcW w:w="2947" w:type="dxa"/>
          </w:tcPr>
          <w:p w14:paraId="6623649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lastRenderedPageBreak/>
              <w:t>Copper</w:t>
            </w:r>
          </w:p>
        </w:tc>
        <w:tc>
          <w:tcPr>
            <w:tcW w:w="4073" w:type="dxa"/>
          </w:tcPr>
          <w:p w14:paraId="76D62F8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1500</w:t>
            </w:r>
          </w:p>
        </w:tc>
      </w:tr>
      <w:tr w:rsidR="00326E64" w:rsidRPr="00326E64" w14:paraId="502E9C34" w14:textId="77777777" w:rsidTr="00A54079">
        <w:trPr>
          <w:cantSplit/>
        </w:trPr>
        <w:tc>
          <w:tcPr>
            <w:tcW w:w="2947" w:type="dxa"/>
          </w:tcPr>
          <w:p w14:paraId="7BADB10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Lead</w:t>
            </w:r>
          </w:p>
        </w:tc>
        <w:tc>
          <w:tcPr>
            <w:tcW w:w="4073" w:type="dxa"/>
          </w:tcPr>
          <w:p w14:paraId="516CA62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300</w:t>
            </w:r>
          </w:p>
        </w:tc>
      </w:tr>
      <w:tr w:rsidR="00326E64" w:rsidRPr="00326E64" w14:paraId="0FAE7D8F" w14:textId="77777777" w:rsidTr="00A54079">
        <w:trPr>
          <w:cantSplit/>
        </w:trPr>
        <w:tc>
          <w:tcPr>
            <w:tcW w:w="2947" w:type="dxa"/>
          </w:tcPr>
          <w:p w14:paraId="272B4AA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Mercury</w:t>
            </w:r>
          </w:p>
        </w:tc>
        <w:tc>
          <w:tcPr>
            <w:tcW w:w="4073" w:type="dxa"/>
          </w:tcPr>
          <w:p w14:paraId="42DC121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17</w:t>
            </w:r>
          </w:p>
        </w:tc>
      </w:tr>
      <w:tr w:rsidR="00326E64" w:rsidRPr="00326E64" w14:paraId="617DDAB4" w14:textId="77777777" w:rsidTr="00A54079">
        <w:trPr>
          <w:cantSplit/>
        </w:trPr>
        <w:tc>
          <w:tcPr>
            <w:tcW w:w="2947" w:type="dxa"/>
          </w:tcPr>
          <w:p w14:paraId="341386D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Nickel</w:t>
            </w:r>
          </w:p>
        </w:tc>
        <w:tc>
          <w:tcPr>
            <w:tcW w:w="4073" w:type="dxa"/>
          </w:tcPr>
          <w:p w14:paraId="6C284F7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420</w:t>
            </w:r>
          </w:p>
        </w:tc>
      </w:tr>
      <w:tr w:rsidR="00326E64" w:rsidRPr="00326E64" w14:paraId="0B4B064D" w14:textId="77777777" w:rsidTr="00A54079">
        <w:trPr>
          <w:cantSplit/>
        </w:trPr>
        <w:tc>
          <w:tcPr>
            <w:tcW w:w="2947" w:type="dxa"/>
          </w:tcPr>
          <w:p w14:paraId="343C0E1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Selenium</w:t>
            </w:r>
          </w:p>
        </w:tc>
        <w:tc>
          <w:tcPr>
            <w:tcW w:w="4073" w:type="dxa"/>
          </w:tcPr>
          <w:p w14:paraId="7EF4AAD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100</w:t>
            </w:r>
          </w:p>
        </w:tc>
      </w:tr>
      <w:tr w:rsidR="00326E64" w:rsidRPr="00326E64" w14:paraId="2347617A" w14:textId="77777777" w:rsidTr="00A54079">
        <w:trPr>
          <w:cantSplit/>
        </w:trPr>
        <w:tc>
          <w:tcPr>
            <w:tcW w:w="2947" w:type="dxa"/>
          </w:tcPr>
          <w:p w14:paraId="583D65C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Zinc</w:t>
            </w:r>
          </w:p>
        </w:tc>
        <w:tc>
          <w:tcPr>
            <w:tcW w:w="4073" w:type="dxa"/>
          </w:tcPr>
          <w:p w14:paraId="4675764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2800</w:t>
            </w:r>
          </w:p>
        </w:tc>
      </w:tr>
    </w:tbl>
    <w:p w14:paraId="04735D7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p>
    <w:p w14:paraId="58D45C8A" w14:textId="77777777" w:rsidR="00326E64" w:rsidRPr="00326E64" w:rsidRDefault="00326E64" w:rsidP="00326E64">
      <w:pPr>
        <w:spacing w:line="480" w:lineRule="auto"/>
        <w:ind w:left="720" w:firstLine="720"/>
        <w:rPr>
          <w:rFonts w:ascii="Times New Roman" w:eastAsia="Calibri" w:hAnsi="Times New Roman" w:cs="Times New Roman"/>
          <w:u w:val="single"/>
        </w:rPr>
      </w:pPr>
      <w:r w:rsidRPr="00326E64">
        <w:rPr>
          <w:rFonts w:ascii="Times New Roman" w:eastAsia="Calibri" w:hAnsi="Times New Roman" w:cs="Times New Roman"/>
          <w:u w:val="single"/>
        </w:rPr>
        <w:t>3.</w:t>
      </w:r>
      <w:r w:rsidRPr="00326E64">
        <w:rPr>
          <w:rFonts w:ascii="Times New Roman" w:eastAsia="Calibri" w:hAnsi="Times New Roman" w:cs="Times New Roman"/>
          <w:u w:val="single"/>
        </w:rPr>
        <w:tab/>
        <w:t>Table 3—Pollutant Concentrations</w:t>
      </w:r>
    </w:p>
    <w:tbl>
      <w:tblPr>
        <w:tblW w:w="0" w:type="auto"/>
        <w:tblInd w:w="2282"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ook w:val="0000" w:firstRow="0" w:lastRow="0" w:firstColumn="0" w:lastColumn="0" w:noHBand="0" w:noVBand="0"/>
      </w:tblPr>
      <w:tblGrid>
        <w:gridCol w:w="2915"/>
        <w:gridCol w:w="4050"/>
      </w:tblGrid>
      <w:tr w:rsidR="00326E64" w:rsidRPr="00326E64" w14:paraId="1DB5EABD" w14:textId="77777777" w:rsidTr="00A54079">
        <w:trPr>
          <w:cantSplit/>
        </w:trPr>
        <w:tc>
          <w:tcPr>
            <w:tcW w:w="6965" w:type="dxa"/>
            <w:gridSpan w:val="2"/>
            <w:tcBorders>
              <w:top w:val="double" w:sz="6" w:space="0" w:color="auto"/>
              <w:bottom w:val="single" w:sz="6" w:space="0" w:color="auto"/>
            </w:tcBorders>
            <w:shd w:val="clear" w:color="auto" w:fill="auto"/>
            <w:vAlign w:val="center"/>
          </w:tcPr>
          <w:p w14:paraId="65EF0594"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Table 3 of LAC 33:IX.7303.F</w:t>
            </w:r>
          </w:p>
        </w:tc>
      </w:tr>
      <w:tr w:rsidR="00326E64" w:rsidRPr="00326E64" w14:paraId="4BBB271D" w14:textId="77777777" w:rsidTr="00A54079">
        <w:trPr>
          <w:cantSplit/>
        </w:trPr>
        <w:tc>
          <w:tcPr>
            <w:tcW w:w="6965" w:type="dxa"/>
            <w:gridSpan w:val="2"/>
            <w:tcBorders>
              <w:top w:val="single" w:sz="6" w:space="0" w:color="auto"/>
              <w:bottom w:val="single" w:sz="6" w:space="0" w:color="auto"/>
            </w:tcBorders>
            <w:shd w:val="clear" w:color="auto" w:fill="auto"/>
            <w:vAlign w:val="center"/>
          </w:tcPr>
          <w:p w14:paraId="66FB24AE"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Pollutant Concentrations</w:t>
            </w:r>
          </w:p>
        </w:tc>
      </w:tr>
      <w:tr w:rsidR="00326E64" w:rsidRPr="00326E64" w14:paraId="38B7C4C3" w14:textId="77777777" w:rsidTr="00A54079">
        <w:trPr>
          <w:cantSplit/>
        </w:trPr>
        <w:tc>
          <w:tcPr>
            <w:tcW w:w="2915" w:type="dxa"/>
            <w:tcBorders>
              <w:top w:val="single" w:sz="6" w:space="0" w:color="auto"/>
              <w:bottom w:val="single" w:sz="6" w:space="0" w:color="auto"/>
            </w:tcBorders>
            <w:shd w:val="clear" w:color="auto" w:fill="auto"/>
            <w:vAlign w:val="center"/>
          </w:tcPr>
          <w:p w14:paraId="65D85FB2"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Pollutant</w:t>
            </w:r>
          </w:p>
        </w:tc>
        <w:tc>
          <w:tcPr>
            <w:tcW w:w="4050" w:type="dxa"/>
            <w:tcBorders>
              <w:top w:val="single" w:sz="6" w:space="0" w:color="auto"/>
              <w:bottom w:val="single" w:sz="6" w:space="0" w:color="auto"/>
            </w:tcBorders>
            <w:shd w:val="clear" w:color="auto" w:fill="auto"/>
            <w:vAlign w:val="center"/>
          </w:tcPr>
          <w:p w14:paraId="38DC198A"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Monthly Average Concentration</w:t>
            </w:r>
          </w:p>
          <w:p w14:paraId="6ECC8FDB"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(milligrams per kilogram)</w:t>
            </w:r>
            <w:r w:rsidRPr="00326E64">
              <w:rPr>
                <w:rFonts w:ascii="Times New Roman" w:eastAsia="Calibri" w:hAnsi="Times New Roman" w:cs="Times New Roman"/>
                <w:b/>
                <w:u w:val="single"/>
                <w:vertAlign w:val="superscript"/>
              </w:rPr>
              <w:t>1</w:t>
            </w:r>
          </w:p>
        </w:tc>
      </w:tr>
      <w:tr w:rsidR="00326E64" w:rsidRPr="00326E64" w14:paraId="427BD573" w14:textId="77777777" w:rsidTr="00A54079">
        <w:trPr>
          <w:cantSplit/>
        </w:trPr>
        <w:tc>
          <w:tcPr>
            <w:tcW w:w="2915" w:type="dxa"/>
            <w:tcBorders>
              <w:top w:val="single" w:sz="6" w:space="0" w:color="auto"/>
            </w:tcBorders>
          </w:tcPr>
          <w:p w14:paraId="7D043E9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Arsenic</w:t>
            </w:r>
          </w:p>
        </w:tc>
        <w:tc>
          <w:tcPr>
            <w:tcW w:w="4050" w:type="dxa"/>
            <w:tcBorders>
              <w:top w:val="single" w:sz="6" w:space="0" w:color="auto"/>
            </w:tcBorders>
          </w:tcPr>
          <w:p w14:paraId="26E1E0D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41</w:t>
            </w:r>
          </w:p>
        </w:tc>
      </w:tr>
      <w:tr w:rsidR="00326E64" w:rsidRPr="00326E64" w14:paraId="71F19299" w14:textId="77777777" w:rsidTr="00A54079">
        <w:trPr>
          <w:cantSplit/>
        </w:trPr>
        <w:tc>
          <w:tcPr>
            <w:tcW w:w="2915" w:type="dxa"/>
          </w:tcPr>
          <w:p w14:paraId="23B876D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Cadmium</w:t>
            </w:r>
          </w:p>
        </w:tc>
        <w:tc>
          <w:tcPr>
            <w:tcW w:w="4050" w:type="dxa"/>
          </w:tcPr>
          <w:p w14:paraId="76B3FCA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39</w:t>
            </w:r>
          </w:p>
        </w:tc>
      </w:tr>
      <w:tr w:rsidR="00326E64" w:rsidRPr="00326E64" w14:paraId="7CD775DD" w14:textId="77777777" w:rsidTr="00A54079">
        <w:trPr>
          <w:cantSplit/>
        </w:trPr>
        <w:tc>
          <w:tcPr>
            <w:tcW w:w="2915" w:type="dxa"/>
          </w:tcPr>
          <w:p w14:paraId="5B91ED4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Copper</w:t>
            </w:r>
          </w:p>
        </w:tc>
        <w:tc>
          <w:tcPr>
            <w:tcW w:w="4050" w:type="dxa"/>
          </w:tcPr>
          <w:p w14:paraId="08493DE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1500</w:t>
            </w:r>
          </w:p>
        </w:tc>
      </w:tr>
      <w:tr w:rsidR="00326E64" w:rsidRPr="00326E64" w14:paraId="37CB1680" w14:textId="77777777" w:rsidTr="00A54079">
        <w:trPr>
          <w:cantSplit/>
        </w:trPr>
        <w:tc>
          <w:tcPr>
            <w:tcW w:w="2915" w:type="dxa"/>
          </w:tcPr>
          <w:p w14:paraId="70D1A80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Lead</w:t>
            </w:r>
          </w:p>
        </w:tc>
        <w:tc>
          <w:tcPr>
            <w:tcW w:w="4050" w:type="dxa"/>
          </w:tcPr>
          <w:p w14:paraId="3628016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300</w:t>
            </w:r>
          </w:p>
        </w:tc>
      </w:tr>
      <w:tr w:rsidR="00326E64" w:rsidRPr="00326E64" w14:paraId="2BF95AA3" w14:textId="77777777" w:rsidTr="00A54079">
        <w:trPr>
          <w:cantSplit/>
        </w:trPr>
        <w:tc>
          <w:tcPr>
            <w:tcW w:w="2915" w:type="dxa"/>
          </w:tcPr>
          <w:p w14:paraId="052B01E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Mercury</w:t>
            </w:r>
          </w:p>
        </w:tc>
        <w:tc>
          <w:tcPr>
            <w:tcW w:w="4050" w:type="dxa"/>
          </w:tcPr>
          <w:p w14:paraId="5DF570E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17</w:t>
            </w:r>
          </w:p>
        </w:tc>
      </w:tr>
      <w:tr w:rsidR="00326E64" w:rsidRPr="00326E64" w14:paraId="75694C11" w14:textId="77777777" w:rsidTr="00A54079">
        <w:trPr>
          <w:cantSplit/>
        </w:trPr>
        <w:tc>
          <w:tcPr>
            <w:tcW w:w="2915" w:type="dxa"/>
          </w:tcPr>
          <w:p w14:paraId="1816D75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Nickel</w:t>
            </w:r>
          </w:p>
        </w:tc>
        <w:tc>
          <w:tcPr>
            <w:tcW w:w="4050" w:type="dxa"/>
          </w:tcPr>
          <w:p w14:paraId="3F4FD9F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420</w:t>
            </w:r>
          </w:p>
        </w:tc>
      </w:tr>
      <w:tr w:rsidR="00326E64" w:rsidRPr="00326E64" w14:paraId="1B4EF2D0" w14:textId="77777777" w:rsidTr="00A54079">
        <w:trPr>
          <w:cantSplit/>
        </w:trPr>
        <w:tc>
          <w:tcPr>
            <w:tcW w:w="2915" w:type="dxa"/>
          </w:tcPr>
          <w:p w14:paraId="63980DA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lastRenderedPageBreak/>
              <w:t>Selenium</w:t>
            </w:r>
          </w:p>
        </w:tc>
        <w:tc>
          <w:tcPr>
            <w:tcW w:w="4050" w:type="dxa"/>
          </w:tcPr>
          <w:p w14:paraId="5B4FB13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100</w:t>
            </w:r>
          </w:p>
        </w:tc>
      </w:tr>
      <w:tr w:rsidR="00326E64" w:rsidRPr="00326E64" w14:paraId="7874F3F1" w14:textId="77777777" w:rsidTr="00A54079">
        <w:trPr>
          <w:cantSplit/>
        </w:trPr>
        <w:tc>
          <w:tcPr>
            <w:tcW w:w="2915" w:type="dxa"/>
          </w:tcPr>
          <w:p w14:paraId="3EC5C8E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Zinc</w:t>
            </w:r>
          </w:p>
        </w:tc>
        <w:tc>
          <w:tcPr>
            <w:tcW w:w="4050" w:type="dxa"/>
          </w:tcPr>
          <w:p w14:paraId="44B8969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2800</w:t>
            </w:r>
          </w:p>
        </w:tc>
      </w:tr>
      <w:tr w:rsidR="00326E64" w:rsidRPr="00326E64" w14:paraId="7CAEC745" w14:textId="77777777" w:rsidTr="00A54079">
        <w:trPr>
          <w:cantSplit/>
        </w:trPr>
        <w:tc>
          <w:tcPr>
            <w:tcW w:w="6965" w:type="dxa"/>
            <w:gridSpan w:val="2"/>
          </w:tcPr>
          <w:p w14:paraId="39BF586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vertAlign w:val="superscript"/>
              </w:rPr>
              <w:t>1</w:t>
            </w:r>
            <w:r w:rsidRPr="00326E64">
              <w:rPr>
                <w:rFonts w:ascii="Times New Roman" w:eastAsia="Calibri" w:hAnsi="Times New Roman" w:cs="Times New Roman"/>
                <w:u w:val="single"/>
              </w:rPr>
              <w:t>Dry weight basis</w:t>
            </w:r>
          </w:p>
        </w:tc>
      </w:tr>
    </w:tbl>
    <w:p w14:paraId="581FA531" w14:textId="77777777" w:rsidR="00326E64" w:rsidRPr="00326E64" w:rsidRDefault="00326E64" w:rsidP="00326E64">
      <w:pPr>
        <w:spacing w:line="480" w:lineRule="auto"/>
        <w:rPr>
          <w:rFonts w:ascii="Times New Roman" w:eastAsia="Calibri" w:hAnsi="Times New Roman" w:cs="Times New Roman"/>
          <w:u w:val="single"/>
        </w:rPr>
      </w:pPr>
    </w:p>
    <w:p w14:paraId="51111DD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4.</w:t>
      </w:r>
      <w:r w:rsidRPr="00326E64">
        <w:rPr>
          <w:rFonts w:ascii="Times New Roman" w:eastAsia="Calibri" w:hAnsi="Times New Roman" w:cs="Times New Roman"/>
          <w:u w:val="single"/>
        </w:rPr>
        <w:tab/>
        <w:t>Table 4—Annual Pollutant Loading Rates</w:t>
      </w:r>
    </w:p>
    <w:tbl>
      <w:tblPr>
        <w:tblW w:w="0" w:type="auto"/>
        <w:tblInd w:w="228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914"/>
        <w:gridCol w:w="4050"/>
      </w:tblGrid>
      <w:tr w:rsidR="00326E64" w:rsidRPr="00326E64" w14:paraId="1D9D5AA4" w14:textId="77777777" w:rsidTr="00A54079">
        <w:trPr>
          <w:cantSplit/>
          <w:tblHeader/>
        </w:trPr>
        <w:tc>
          <w:tcPr>
            <w:tcW w:w="6964" w:type="dxa"/>
            <w:gridSpan w:val="2"/>
            <w:tcBorders>
              <w:top w:val="double" w:sz="6" w:space="0" w:color="auto"/>
              <w:bottom w:val="single" w:sz="6" w:space="0" w:color="auto"/>
            </w:tcBorders>
            <w:shd w:val="clear" w:color="auto" w:fill="auto"/>
            <w:vAlign w:val="center"/>
          </w:tcPr>
          <w:p w14:paraId="18B2C788"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Table 4 of LAC 33:IX.7303.F</w:t>
            </w:r>
          </w:p>
        </w:tc>
      </w:tr>
      <w:tr w:rsidR="00326E64" w:rsidRPr="00326E64" w14:paraId="128BBAFA" w14:textId="77777777" w:rsidTr="00A54079">
        <w:trPr>
          <w:cantSplit/>
          <w:tblHeader/>
        </w:trPr>
        <w:tc>
          <w:tcPr>
            <w:tcW w:w="6964" w:type="dxa"/>
            <w:gridSpan w:val="2"/>
            <w:tcBorders>
              <w:top w:val="single" w:sz="6" w:space="0" w:color="auto"/>
              <w:bottom w:val="single" w:sz="6" w:space="0" w:color="auto"/>
            </w:tcBorders>
            <w:shd w:val="clear" w:color="auto" w:fill="auto"/>
            <w:vAlign w:val="center"/>
          </w:tcPr>
          <w:p w14:paraId="38AAFBD4"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Annual Pollutant Loading Rates</w:t>
            </w:r>
          </w:p>
        </w:tc>
      </w:tr>
      <w:tr w:rsidR="00326E64" w:rsidRPr="00326E64" w14:paraId="2ED67A81" w14:textId="77777777" w:rsidTr="00A54079">
        <w:trPr>
          <w:cantSplit/>
          <w:tblHeader/>
        </w:trPr>
        <w:tc>
          <w:tcPr>
            <w:tcW w:w="2914" w:type="dxa"/>
            <w:tcBorders>
              <w:top w:val="single" w:sz="6" w:space="0" w:color="auto"/>
              <w:bottom w:val="single" w:sz="6" w:space="0" w:color="auto"/>
            </w:tcBorders>
            <w:shd w:val="clear" w:color="auto" w:fill="auto"/>
            <w:vAlign w:val="center"/>
          </w:tcPr>
          <w:p w14:paraId="1590BCD3"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Pollutant</w:t>
            </w:r>
          </w:p>
        </w:tc>
        <w:tc>
          <w:tcPr>
            <w:tcW w:w="4050" w:type="dxa"/>
            <w:tcBorders>
              <w:top w:val="single" w:sz="6" w:space="0" w:color="auto"/>
              <w:bottom w:val="single" w:sz="6" w:space="0" w:color="auto"/>
            </w:tcBorders>
            <w:shd w:val="clear" w:color="auto" w:fill="auto"/>
            <w:vAlign w:val="center"/>
          </w:tcPr>
          <w:p w14:paraId="6CA8A060"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Annual Pollutant Loading Rate</w:t>
            </w:r>
          </w:p>
          <w:p w14:paraId="1C1D65C8"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(kilograms per hectare</w:t>
            </w:r>
            <w:r w:rsidRPr="00326E64">
              <w:rPr>
                <w:rFonts w:ascii="Times New Roman" w:eastAsia="Calibri" w:hAnsi="Times New Roman" w:cs="Times New Roman"/>
                <w:b/>
                <w:u w:val="single"/>
              </w:rPr>
              <w:br/>
              <w:t>per 365-day period)</w:t>
            </w:r>
          </w:p>
        </w:tc>
      </w:tr>
      <w:tr w:rsidR="00326E64" w:rsidRPr="00326E64" w14:paraId="21006CD3" w14:textId="77777777" w:rsidTr="00A54079">
        <w:trPr>
          <w:cantSplit/>
        </w:trPr>
        <w:tc>
          <w:tcPr>
            <w:tcW w:w="2914" w:type="dxa"/>
            <w:tcBorders>
              <w:top w:val="single" w:sz="6" w:space="0" w:color="auto"/>
            </w:tcBorders>
          </w:tcPr>
          <w:p w14:paraId="7526805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Arsenic</w:t>
            </w:r>
          </w:p>
        </w:tc>
        <w:tc>
          <w:tcPr>
            <w:tcW w:w="4050" w:type="dxa"/>
            <w:tcBorders>
              <w:top w:val="single" w:sz="6" w:space="0" w:color="auto"/>
            </w:tcBorders>
          </w:tcPr>
          <w:p w14:paraId="6115EBB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2.0</w:t>
            </w:r>
          </w:p>
        </w:tc>
      </w:tr>
      <w:tr w:rsidR="00326E64" w:rsidRPr="00326E64" w14:paraId="602A4D50" w14:textId="77777777" w:rsidTr="00A54079">
        <w:trPr>
          <w:cantSplit/>
        </w:trPr>
        <w:tc>
          <w:tcPr>
            <w:tcW w:w="2914" w:type="dxa"/>
          </w:tcPr>
          <w:p w14:paraId="285BADF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Cadmium</w:t>
            </w:r>
          </w:p>
        </w:tc>
        <w:tc>
          <w:tcPr>
            <w:tcW w:w="4050" w:type="dxa"/>
          </w:tcPr>
          <w:p w14:paraId="602E02B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1.9</w:t>
            </w:r>
          </w:p>
        </w:tc>
      </w:tr>
      <w:tr w:rsidR="00326E64" w:rsidRPr="00326E64" w14:paraId="23B1D8CB" w14:textId="77777777" w:rsidTr="00A54079">
        <w:trPr>
          <w:cantSplit/>
        </w:trPr>
        <w:tc>
          <w:tcPr>
            <w:tcW w:w="2914" w:type="dxa"/>
          </w:tcPr>
          <w:p w14:paraId="51E4F06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Copper</w:t>
            </w:r>
          </w:p>
        </w:tc>
        <w:tc>
          <w:tcPr>
            <w:tcW w:w="4050" w:type="dxa"/>
          </w:tcPr>
          <w:p w14:paraId="56E82A7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75</w:t>
            </w:r>
          </w:p>
        </w:tc>
      </w:tr>
      <w:tr w:rsidR="00326E64" w:rsidRPr="00326E64" w14:paraId="6A3D7F54" w14:textId="77777777" w:rsidTr="00A54079">
        <w:trPr>
          <w:cantSplit/>
        </w:trPr>
        <w:tc>
          <w:tcPr>
            <w:tcW w:w="2914" w:type="dxa"/>
          </w:tcPr>
          <w:p w14:paraId="78D6BB1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Lead</w:t>
            </w:r>
          </w:p>
        </w:tc>
        <w:tc>
          <w:tcPr>
            <w:tcW w:w="4050" w:type="dxa"/>
          </w:tcPr>
          <w:p w14:paraId="60D5196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15</w:t>
            </w:r>
          </w:p>
        </w:tc>
      </w:tr>
      <w:tr w:rsidR="00326E64" w:rsidRPr="00326E64" w14:paraId="0F75512A" w14:textId="77777777" w:rsidTr="00A54079">
        <w:trPr>
          <w:cantSplit/>
        </w:trPr>
        <w:tc>
          <w:tcPr>
            <w:tcW w:w="2914" w:type="dxa"/>
          </w:tcPr>
          <w:p w14:paraId="544AA8B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Mercury</w:t>
            </w:r>
          </w:p>
        </w:tc>
        <w:tc>
          <w:tcPr>
            <w:tcW w:w="4050" w:type="dxa"/>
          </w:tcPr>
          <w:p w14:paraId="4F3716D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0.85</w:t>
            </w:r>
          </w:p>
        </w:tc>
      </w:tr>
      <w:tr w:rsidR="00326E64" w:rsidRPr="00326E64" w14:paraId="074FB097" w14:textId="77777777" w:rsidTr="00A54079">
        <w:trPr>
          <w:cantSplit/>
        </w:trPr>
        <w:tc>
          <w:tcPr>
            <w:tcW w:w="2914" w:type="dxa"/>
          </w:tcPr>
          <w:p w14:paraId="22B77E2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Nickel</w:t>
            </w:r>
          </w:p>
        </w:tc>
        <w:tc>
          <w:tcPr>
            <w:tcW w:w="4050" w:type="dxa"/>
          </w:tcPr>
          <w:p w14:paraId="746FFD2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21</w:t>
            </w:r>
          </w:p>
        </w:tc>
      </w:tr>
      <w:tr w:rsidR="00326E64" w:rsidRPr="00326E64" w14:paraId="2A9B76EE" w14:textId="77777777" w:rsidTr="00A54079">
        <w:trPr>
          <w:cantSplit/>
        </w:trPr>
        <w:tc>
          <w:tcPr>
            <w:tcW w:w="2914" w:type="dxa"/>
          </w:tcPr>
          <w:p w14:paraId="1736483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Selenium</w:t>
            </w:r>
          </w:p>
        </w:tc>
        <w:tc>
          <w:tcPr>
            <w:tcW w:w="4050" w:type="dxa"/>
          </w:tcPr>
          <w:p w14:paraId="187DBBD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5.0</w:t>
            </w:r>
          </w:p>
        </w:tc>
      </w:tr>
      <w:tr w:rsidR="00326E64" w:rsidRPr="00326E64" w14:paraId="70533AD4" w14:textId="77777777" w:rsidTr="00A54079">
        <w:trPr>
          <w:cantSplit/>
        </w:trPr>
        <w:tc>
          <w:tcPr>
            <w:tcW w:w="2914" w:type="dxa"/>
          </w:tcPr>
          <w:p w14:paraId="292E43C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Zinc</w:t>
            </w:r>
          </w:p>
        </w:tc>
        <w:tc>
          <w:tcPr>
            <w:tcW w:w="4050" w:type="dxa"/>
          </w:tcPr>
          <w:p w14:paraId="6EEC0A4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140</w:t>
            </w:r>
          </w:p>
        </w:tc>
      </w:tr>
    </w:tbl>
    <w:p w14:paraId="4404CCBA" w14:textId="77777777" w:rsidR="00326E64" w:rsidRPr="00326E64" w:rsidRDefault="00326E64" w:rsidP="00326E64">
      <w:pPr>
        <w:spacing w:line="480" w:lineRule="auto"/>
        <w:rPr>
          <w:rFonts w:ascii="Times New Roman" w:eastAsia="Calibri" w:hAnsi="Times New Roman" w:cs="Times New Roman"/>
          <w:u w:val="single"/>
        </w:rPr>
      </w:pPr>
    </w:p>
    <w:p w14:paraId="072EE33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5.</w:t>
      </w:r>
      <w:r w:rsidRPr="00326E64">
        <w:rPr>
          <w:rFonts w:ascii="Times New Roman" w:eastAsia="Calibri" w:hAnsi="Times New Roman" w:cs="Times New Roman"/>
          <w:u w:val="single"/>
        </w:rPr>
        <w:tab/>
        <w:t>Table 5—Monitoring Frequency (Class B Biosolids)</w:t>
      </w:r>
    </w:p>
    <w:tbl>
      <w:tblPr>
        <w:tblW w:w="7110" w:type="dxa"/>
        <w:tblInd w:w="2227"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ook w:val="0000" w:firstRow="0" w:lastRow="0" w:firstColumn="0" w:lastColumn="0" w:noHBand="0" w:noVBand="0"/>
      </w:tblPr>
      <w:tblGrid>
        <w:gridCol w:w="2970"/>
        <w:gridCol w:w="4140"/>
      </w:tblGrid>
      <w:tr w:rsidR="00326E64" w:rsidRPr="00326E64" w14:paraId="161BBD33" w14:textId="77777777" w:rsidTr="00A54079">
        <w:trPr>
          <w:cantSplit/>
          <w:tblHeader/>
        </w:trPr>
        <w:tc>
          <w:tcPr>
            <w:tcW w:w="7110" w:type="dxa"/>
            <w:gridSpan w:val="2"/>
            <w:tcBorders>
              <w:top w:val="double" w:sz="6" w:space="0" w:color="auto"/>
              <w:bottom w:val="single" w:sz="6" w:space="0" w:color="auto"/>
            </w:tcBorders>
            <w:shd w:val="clear" w:color="auto" w:fill="auto"/>
            <w:vAlign w:val="center"/>
          </w:tcPr>
          <w:p w14:paraId="2CCED706" w14:textId="77777777" w:rsidR="00326E64" w:rsidRPr="00326E64" w:rsidRDefault="00326E64" w:rsidP="00326E64">
            <w:pPr>
              <w:spacing w:line="480" w:lineRule="auto"/>
              <w:ind w:right="76"/>
              <w:rPr>
                <w:rFonts w:ascii="Times New Roman" w:eastAsia="Calibri" w:hAnsi="Times New Roman" w:cs="Times New Roman"/>
                <w:b/>
                <w:u w:val="single"/>
              </w:rPr>
            </w:pPr>
            <w:r w:rsidRPr="00326E64">
              <w:rPr>
                <w:rFonts w:ascii="Times New Roman" w:eastAsia="Calibri" w:hAnsi="Times New Roman" w:cs="Times New Roman"/>
                <w:b/>
                <w:u w:val="single"/>
              </w:rPr>
              <w:lastRenderedPageBreak/>
              <w:t>Table 5 of LAC 33:IX.7303.F</w:t>
            </w:r>
          </w:p>
        </w:tc>
      </w:tr>
      <w:tr w:rsidR="00326E64" w:rsidRPr="00326E64" w14:paraId="52A89451" w14:textId="77777777" w:rsidTr="00A54079">
        <w:trPr>
          <w:cantSplit/>
          <w:tblHeader/>
        </w:trPr>
        <w:tc>
          <w:tcPr>
            <w:tcW w:w="7110" w:type="dxa"/>
            <w:gridSpan w:val="2"/>
            <w:tcBorders>
              <w:top w:val="single" w:sz="6" w:space="0" w:color="auto"/>
              <w:bottom w:val="single" w:sz="6" w:space="0" w:color="auto"/>
            </w:tcBorders>
            <w:shd w:val="clear" w:color="auto" w:fill="auto"/>
            <w:vAlign w:val="center"/>
          </w:tcPr>
          <w:p w14:paraId="413613F6"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Frequency of Monitoring—Land Application (Class B Biosolids)</w:t>
            </w:r>
          </w:p>
        </w:tc>
      </w:tr>
      <w:tr w:rsidR="00326E64" w:rsidRPr="00326E64" w14:paraId="61D5BE42" w14:textId="77777777" w:rsidTr="00A54079">
        <w:trPr>
          <w:cantSplit/>
          <w:tblHeader/>
        </w:trPr>
        <w:tc>
          <w:tcPr>
            <w:tcW w:w="2970" w:type="dxa"/>
            <w:tcBorders>
              <w:top w:val="single" w:sz="6" w:space="0" w:color="auto"/>
              <w:bottom w:val="single" w:sz="6" w:space="0" w:color="auto"/>
            </w:tcBorders>
            <w:shd w:val="clear" w:color="auto" w:fill="auto"/>
            <w:vAlign w:val="center"/>
          </w:tcPr>
          <w:p w14:paraId="284EBA00"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Amount of Biosolids</w:t>
            </w:r>
            <w:r w:rsidRPr="00326E64">
              <w:rPr>
                <w:rFonts w:ascii="Times New Roman" w:eastAsia="Calibri" w:hAnsi="Times New Roman" w:cs="Times New Roman"/>
                <w:b/>
                <w:u w:val="single"/>
                <w:vertAlign w:val="superscript"/>
              </w:rPr>
              <w:t>1</w:t>
            </w:r>
          </w:p>
          <w:p w14:paraId="6F424BEB"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(metric tons per 365-day period)</w:t>
            </w:r>
          </w:p>
        </w:tc>
        <w:tc>
          <w:tcPr>
            <w:tcW w:w="4140" w:type="dxa"/>
            <w:tcBorders>
              <w:top w:val="single" w:sz="6" w:space="0" w:color="auto"/>
              <w:bottom w:val="single" w:sz="6" w:space="0" w:color="auto"/>
            </w:tcBorders>
            <w:shd w:val="clear" w:color="auto" w:fill="auto"/>
            <w:vAlign w:val="center"/>
          </w:tcPr>
          <w:p w14:paraId="5D675FDE"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Frequency</w:t>
            </w:r>
          </w:p>
        </w:tc>
      </w:tr>
      <w:tr w:rsidR="00326E64" w:rsidRPr="00326E64" w14:paraId="0E0258E8" w14:textId="77777777" w:rsidTr="00A54079">
        <w:trPr>
          <w:cantSplit/>
          <w:tblHeader/>
        </w:trPr>
        <w:tc>
          <w:tcPr>
            <w:tcW w:w="2970" w:type="dxa"/>
            <w:tcBorders>
              <w:top w:val="single" w:sz="6" w:space="0" w:color="auto"/>
            </w:tcBorders>
          </w:tcPr>
          <w:p w14:paraId="5FF0D86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Greater than zero but less than 290</w:t>
            </w:r>
          </w:p>
        </w:tc>
        <w:tc>
          <w:tcPr>
            <w:tcW w:w="4140" w:type="dxa"/>
            <w:tcBorders>
              <w:top w:val="single" w:sz="6" w:space="0" w:color="auto"/>
            </w:tcBorders>
          </w:tcPr>
          <w:p w14:paraId="35AB770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Once per year</w:t>
            </w:r>
          </w:p>
        </w:tc>
      </w:tr>
      <w:tr w:rsidR="00326E64" w:rsidRPr="00326E64" w14:paraId="6DF698C3" w14:textId="77777777" w:rsidTr="00A54079">
        <w:trPr>
          <w:cantSplit/>
          <w:tblHeader/>
        </w:trPr>
        <w:tc>
          <w:tcPr>
            <w:tcW w:w="2970" w:type="dxa"/>
          </w:tcPr>
          <w:p w14:paraId="0B197E7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Equal to or greater than 290 but less than 1,500</w:t>
            </w:r>
          </w:p>
        </w:tc>
        <w:tc>
          <w:tcPr>
            <w:tcW w:w="4140" w:type="dxa"/>
          </w:tcPr>
          <w:p w14:paraId="6C149DC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 xml:space="preserve">Once per quarter </w:t>
            </w:r>
            <w:r w:rsidRPr="00326E64">
              <w:rPr>
                <w:rFonts w:ascii="Times New Roman" w:eastAsia="Calibri" w:hAnsi="Times New Roman" w:cs="Times New Roman"/>
                <w:u w:val="single"/>
              </w:rPr>
              <w:br/>
              <w:t>(four times per year)</w:t>
            </w:r>
          </w:p>
        </w:tc>
      </w:tr>
      <w:tr w:rsidR="00326E64" w:rsidRPr="00326E64" w14:paraId="666B6707" w14:textId="77777777" w:rsidTr="00A54079">
        <w:trPr>
          <w:cantSplit/>
          <w:tblHeader/>
        </w:trPr>
        <w:tc>
          <w:tcPr>
            <w:tcW w:w="2970" w:type="dxa"/>
          </w:tcPr>
          <w:p w14:paraId="284F623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Equal to or greater than 1,500 but less than 15,000</w:t>
            </w:r>
          </w:p>
        </w:tc>
        <w:tc>
          <w:tcPr>
            <w:tcW w:w="4140" w:type="dxa"/>
          </w:tcPr>
          <w:p w14:paraId="08775E5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 xml:space="preserve">Once per 60 days </w:t>
            </w:r>
            <w:r w:rsidRPr="00326E64">
              <w:rPr>
                <w:rFonts w:ascii="Times New Roman" w:eastAsia="Calibri" w:hAnsi="Times New Roman" w:cs="Times New Roman"/>
                <w:u w:val="single"/>
              </w:rPr>
              <w:br/>
              <w:t>(six times per year)</w:t>
            </w:r>
          </w:p>
        </w:tc>
      </w:tr>
      <w:tr w:rsidR="00326E64" w:rsidRPr="00326E64" w14:paraId="2DEEC815" w14:textId="77777777" w:rsidTr="00A54079">
        <w:trPr>
          <w:cantSplit/>
          <w:tblHeader/>
        </w:trPr>
        <w:tc>
          <w:tcPr>
            <w:tcW w:w="2970" w:type="dxa"/>
          </w:tcPr>
          <w:p w14:paraId="415C6A8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Equal to or greater than 15,000</w:t>
            </w:r>
          </w:p>
        </w:tc>
        <w:tc>
          <w:tcPr>
            <w:tcW w:w="4140" w:type="dxa"/>
          </w:tcPr>
          <w:p w14:paraId="1170C2D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 xml:space="preserve">Once per month </w:t>
            </w:r>
            <w:r w:rsidRPr="00326E64">
              <w:rPr>
                <w:rFonts w:ascii="Times New Roman" w:eastAsia="Calibri" w:hAnsi="Times New Roman" w:cs="Times New Roman"/>
                <w:u w:val="single"/>
              </w:rPr>
              <w:br/>
              <w:t>(12 times per year)</w:t>
            </w:r>
          </w:p>
        </w:tc>
      </w:tr>
      <w:tr w:rsidR="00326E64" w:rsidRPr="00326E64" w14:paraId="61CBD9B0" w14:textId="77777777" w:rsidTr="00A54079">
        <w:trPr>
          <w:cantSplit/>
          <w:tblHeader/>
        </w:trPr>
        <w:tc>
          <w:tcPr>
            <w:tcW w:w="7110" w:type="dxa"/>
            <w:gridSpan w:val="2"/>
            <w:tcMar>
              <w:left w:w="86" w:type="dxa"/>
              <w:right w:w="86" w:type="dxa"/>
            </w:tcMar>
          </w:tcPr>
          <w:p w14:paraId="3C7EA6A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vertAlign w:val="superscript"/>
              </w:rPr>
              <w:t>1</w:t>
            </w:r>
            <w:r w:rsidRPr="00326E64">
              <w:rPr>
                <w:rFonts w:ascii="Times New Roman" w:eastAsia="Calibri" w:hAnsi="Times New Roman" w:cs="Times New Roman"/>
                <w:u w:val="single"/>
              </w:rPr>
              <w:t>Either the amount of bulk biosolids applied to the land (on a dry weight basis) or the amount of biosolids that are bagged and sold or given away for application to the land (on a dry weight basis).</w:t>
            </w:r>
          </w:p>
        </w:tc>
      </w:tr>
    </w:tbl>
    <w:p w14:paraId="646B154B" w14:textId="77777777" w:rsidR="00326E64" w:rsidRPr="00326E64" w:rsidRDefault="00326E64" w:rsidP="00326E64">
      <w:pPr>
        <w:spacing w:line="480" w:lineRule="auto"/>
        <w:rPr>
          <w:rFonts w:ascii="Times New Roman" w:eastAsia="Calibri" w:hAnsi="Times New Roman" w:cs="Times New Roman"/>
          <w:u w:val="single"/>
        </w:rPr>
      </w:pPr>
    </w:p>
    <w:p w14:paraId="7B1CCEB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6.</w:t>
      </w:r>
      <w:r w:rsidRPr="00326E64">
        <w:rPr>
          <w:rFonts w:ascii="Times New Roman" w:eastAsia="Calibri" w:hAnsi="Times New Roman" w:cs="Times New Roman"/>
          <w:u w:val="single"/>
        </w:rPr>
        <w:tab/>
        <w:t>Table 6—Monitoring Frequency (Exceptional Quality Biosolids)</w:t>
      </w:r>
    </w:p>
    <w:tbl>
      <w:tblPr>
        <w:tblW w:w="7110" w:type="dxa"/>
        <w:tblInd w:w="2227"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ook w:val="0000" w:firstRow="0" w:lastRow="0" w:firstColumn="0" w:lastColumn="0" w:noHBand="0" w:noVBand="0"/>
      </w:tblPr>
      <w:tblGrid>
        <w:gridCol w:w="2970"/>
        <w:gridCol w:w="4140"/>
      </w:tblGrid>
      <w:tr w:rsidR="00326E64" w:rsidRPr="00326E64" w14:paraId="10C43F21" w14:textId="77777777" w:rsidTr="00A54079">
        <w:trPr>
          <w:cantSplit/>
          <w:tblHeader/>
        </w:trPr>
        <w:tc>
          <w:tcPr>
            <w:tcW w:w="7110" w:type="dxa"/>
            <w:gridSpan w:val="2"/>
            <w:tcBorders>
              <w:top w:val="double" w:sz="6" w:space="0" w:color="auto"/>
              <w:bottom w:val="single" w:sz="6" w:space="0" w:color="auto"/>
            </w:tcBorders>
            <w:shd w:val="clear" w:color="auto" w:fill="auto"/>
            <w:vAlign w:val="center"/>
          </w:tcPr>
          <w:p w14:paraId="1B330E9C"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lastRenderedPageBreak/>
              <w:t>Table 6 of LAC 33:IX.7303.F</w:t>
            </w:r>
          </w:p>
        </w:tc>
      </w:tr>
      <w:tr w:rsidR="00326E64" w:rsidRPr="00326E64" w14:paraId="20558419" w14:textId="77777777" w:rsidTr="00A54079">
        <w:trPr>
          <w:cantSplit/>
          <w:tblHeader/>
        </w:trPr>
        <w:tc>
          <w:tcPr>
            <w:tcW w:w="7110" w:type="dxa"/>
            <w:gridSpan w:val="2"/>
            <w:tcBorders>
              <w:top w:val="single" w:sz="6" w:space="0" w:color="auto"/>
              <w:bottom w:val="single" w:sz="6" w:space="0" w:color="auto"/>
            </w:tcBorders>
            <w:shd w:val="clear" w:color="auto" w:fill="auto"/>
            <w:vAlign w:val="center"/>
          </w:tcPr>
          <w:p w14:paraId="53B6A144"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Frequency of Monitoring—Exceptional Quality Biosolids</w:t>
            </w:r>
          </w:p>
        </w:tc>
      </w:tr>
      <w:tr w:rsidR="00326E64" w:rsidRPr="00326E64" w14:paraId="7DAA3133" w14:textId="77777777" w:rsidTr="00A54079">
        <w:trPr>
          <w:cantSplit/>
          <w:tblHeader/>
        </w:trPr>
        <w:tc>
          <w:tcPr>
            <w:tcW w:w="2970" w:type="dxa"/>
            <w:tcBorders>
              <w:top w:val="single" w:sz="6" w:space="0" w:color="auto"/>
              <w:bottom w:val="single" w:sz="6" w:space="0" w:color="auto"/>
            </w:tcBorders>
            <w:shd w:val="clear" w:color="auto" w:fill="auto"/>
            <w:vAlign w:val="center"/>
          </w:tcPr>
          <w:p w14:paraId="0BB9771F"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Amount of Biosolids</w:t>
            </w:r>
            <w:r w:rsidRPr="00326E64">
              <w:rPr>
                <w:rFonts w:ascii="Times New Roman" w:eastAsia="Calibri" w:hAnsi="Times New Roman" w:cs="Times New Roman"/>
                <w:b/>
                <w:u w:val="single"/>
                <w:vertAlign w:val="superscript"/>
              </w:rPr>
              <w:t>1</w:t>
            </w:r>
          </w:p>
          <w:p w14:paraId="651B910A"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(metric tons per 365-day period)</w:t>
            </w:r>
          </w:p>
        </w:tc>
        <w:tc>
          <w:tcPr>
            <w:tcW w:w="4140" w:type="dxa"/>
            <w:tcBorders>
              <w:top w:val="single" w:sz="6" w:space="0" w:color="auto"/>
              <w:bottom w:val="single" w:sz="6" w:space="0" w:color="auto"/>
            </w:tcBorders>
            <w:shd w:val="clear" w:color="auto" w:fill="auto"/>
            <w:vAlign w:val="center"/>
          </w:tcPr>
          <w:p w14:paraId="6D980FFC"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Frequency</w:t>
            </w:r>
          </w:p>
        </w:tc>
      </w:tr>
      <w:tr w:rsidR="00326E64" w:rsidRPr="00326E64" w14:paraId="5FC0681B" w14:textId="77777777" w:rsidTr="00A54079">
        <w:trPr>
          <w:cantSplit/>
          <w:tblHeader/>
        </w:trPr>
        <w:tc>
          <w:tcPr>
            <w:tcW w:w="2970" w:type="dxa"/>
            <w:tcBorders>
              <w:top w:val="single" w:sz="6" w:space="0" w:color="auto"/>
            </w:tcBorders>
          </w:tcPr>
          <w:p w14:paraId="052E7F1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Greater than zero but less than 15,000</w:t>
            </w:r>
          </w:p>
        </w:tc>
        <w:tc>
          <w:tcPr>
            <w:tcW w:w="4140" w:type="dxa"/>
            <w:tcBorders>
              <w:top w:val="single" w:sz="6" w:space="0" w:color="auto"/>
            </w:tcBorders>
            <w:vAlign w:val="center"/>
          </w:tcPr>
          <w:p w14:paraId="63CD8DA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Once per quarter</w:t>
            </w:r>
            <w:r w:rsidRPr="00326E64">
              <w:rPr>
                <w:rFonts w:ascii="Times New Roman" w:eastAsia="Calibri" w:hAnsi="Times New Roman" w:cs="Times New Roman"/>
                <w:u w:val="single"/>
              </w:rPr>
              <w:br/>
              <w:t>(four times per year)</w:t>
            </w:r>
          </w:p>
        </w:tc>
      </w:tr>
      <w:tr w:rsidR="00326E64" w:rsidRPr="00326E64" w14:paraId="6AB5EFFD" w14:textId="77777777" w:rsidTr="00A54079">
        <w:trPr>
          <w:cantSplit/>
          <w:tblHeader/>
        </w:trPr>
        <w:tc>
          <w:tcPr>
            <w:tcW w:w="2970" w:type="dxa"/>
          </w:tcPr>
          <w:p w14:paraId="7366BA3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Equal to or greater than 15,000</w:t>
            </w:r>
          </w:p>
        </w:tc>
        <w:tc>
          <w:tcPr>
            <w:tcW w:w="4140" w:type="dxa"/>
            <w:vAlign w:val="center"/>
          </w:tcPr>
          <w:p w14:paraId="4703754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 xml:space="preserve">Once per month </w:t>
            </w:r>
            <w:r w:rsidRPr="00326E64">
              <w:rPr>
                <w:rFonts w:ascii="Times New Roman" w:eastAsia="Calibri" w:hAnsi="Times New Roman" w:cs="Times New Roman"/>
                <w:u w:val="single"/>
              </w:rPr>
              <w:br/>
              <w:t>(12 times per year)</w:t>
            </w:r>
          </w:p>
        </w:tc>
      </w:tr>
      <w:tr w:rsidR="00326E64" w:rsidRPr="00326E64" w14:paraId="74E006FE" w14:textId="77777777" w:rsidTr="00A54079">
        <w:trPr>
          <w:cantSplit/>
          <w:tblHeader/>
        </w:trPr>
        <w:tc>
          <w:tcPr>
            <w:tcW w:w="7110" w:type="dxa"/>
            <w:gridSpan w:val="2"/>
            <w:vAlign w:val="center"/>
          </w:tcPr>
          <w:p w14:paraId="60C4B1A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vertAlign w:val="superscript"/>
              </w:rPr>
              <w:t>1</w:t>
            </w:r>
            <w:r w:rsidRPr="00326E64">
              <w:rPr>
                <w:rFonts w:ascii="Times New Roman" w:eastAsia="Calibri" w:hAnsi="Times New Roman" w:cs="Times New Roman"/>
                <w:u w:val="single"/>
              </w:rPr>
              <w:t>The amount of biosolids sold or given away either in bulk or in a bag or other container.</w:t>
            </w:r>
          </w:p>
        </w:tc>
      </w:tr>
    </w:tbl>
    <w:p w14:paraId="5179285F" w14:textId="77777777" w:rsidR="00326E64" w:rsidRPr="00326E64" w:rsidRDefault="00326E64" w:rsidP="00326E64">
      <w:pPr>
        <w:spacing w:line="480" w:lineRule="auto"/>
        <w:rPr>
          <w:rFonts w:ascii="Times New Roman" w:eastAsia="Calibri" w:hAnsi="Times New Roman" w:cs="Times New Roman"/>
          <w:u w:val="single"/>
        </w:rPr>
      </w:pPr>
    </w:p>
    <w:p w14:paraId="300EA62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7.</w:t>
      </w:r>
      <w:r w:rsidRPr="00326E64">
        <w:rPr>
          <w:rFonts w:ascii="Times New Roman" w:eastAsia="Calibri" w:hAnsi="Times New Roman" w:cs="Times New Roman"/>
          <w:u w:val="single"/>
        </w:rPr>
        <w:tab/>
        <w:t>Table 7—Once Per Year Reporting Period</w:t>
      </w:r>
    </w:p>
    <w:tbl>
      <w:tblPr>
        <w:tblW w:w="7123" w:type="dxa"/>
        <w:tblInd w:w="222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930"/>
        <w:gridCol w:w="4180"/>
        <w:gridCol w:w="13"/>
      </w:tblGrid>
      <w:tr w:rsidR="00326E64" w:rsidRPr="00326E64" w14:paraId="0FF8582C" w14:textId="77777777" w:rsidTr="00A54079">
        <w:trPr>
          <w:cantSplit/>
          <w:tblHeader/>
        </w:trPr>
        <w:tc>
          <w:tcPr>
            <w:tcW w:w="7123" w:type="dxa"/>
            <w:gridSpan w:val="3"/>
            <w:tcBorders>
              <w:top w:val="double" w:sz="6" w:space="0" w:color="auto"/>
              <w:bottom w:val="single" w:sz="6" w:space="0" w:color="auto"/>
            </w:tcBorders>
            <w:shd w:val="clear" w:color="auto" w:fill="auto"/>
            <w:vAlign w:val="center"/>
          </w:tcPr>
          <w:p w14:paraId="3D08A6EB"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Table 7 of LAC 33:IX.7303.F</w:t>
            </w:r>
          </w:p>
        </w:tc>
      </w:tr>
      <w:tr w:rsidR="00326E64" w:rsidRPr="00326E64" w14:paraId="57914A8C" w14:textId="77777777" w:rsidTr="00A54079">
        <w:trPr>
          <w:cantSplit/>
          <w:tblHeader/>
        </w:trPr>
        <w:tc>
          <w:tcPr>
            <w:tcW w:w="7123" w:type="dxa"/>
            <w:gridSpan w:val="3"/>
            <w:tcBorders>
              <w:top w:val="single" w:sz="6" w:space="0" w:color="auto"/>
              <w:bottom w:val="single" w:sz="6" w:space="0" w:color="auto"/>
            </w:tcBorders>
            <w:shd w:val="clear" w:color="auto" w:fill="auto"/>
            <w:vAlign w:val="center"/>
          </w:tcPr>
          <w:p w14:paraId="455B3872"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Reporting—Land Application (Class B Biosolids)</w:t>
            </w:r>
          </w:p>
        </w:tc>
      </w:tr>
      <w:tr w:rsidR="00326E64" w:rsidRPr="00326E64" w14:paraId="55E285DF" w14:textId="77777777" w:rsidTr="00A54079">
        <w:trPr>
          <w:gridAfter w:val="1"/>
          <w:wAfter w:w="13" w:type="dxa"/>
          <w:cantSplit/>
          <w:tblHeader/>
        </w:trPr>
        <w:tc>
          <w:tcPr>
            <w:tcW w:w="2930" w:type="dxa"/>
            <w:tcBorders>
              <w:top w:val="single" w:sz="6" w:space="0" w:color="auto"/>
              <w:bottom w:val="single" w:sz="6" w:space="0" w:color="auto"/>
            </w:tcBorders>
            <w:shd w:val="clear" w:color="auto" w:fill="auto"/>
            <w:vAlign w:val="center"/>
          </w:tcPr>
          <w:p w14:paraId="7BE5D497"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Monitoring Period</w:t>
            </w:r>
          </w:p>
          <w:p w14:paraId="3B19AF19"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(Once per Year)</w:t>
            </w:r>
          </w:p>
        </w:tc>
        <w:tc>
          <w:tcPr>
            <w:tcW w:w="4180" w:type="dxa"/>
            <w:tcBorders>
              <w:top w:val="single" w:sz="6" w:space="0" w:color="auto"/>
              <w:bottom w:val="single" w:sz="6" w:space="0" w:color="auto"/>
            </w:tcBorders>
            <w:shd w:val="clear" w:color="auto" w:fill="auto"/>
            <w:vAlign w:val="center"/>
          </w:tcPr>
          <w:p w14:paraId="635F30DD"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Report Due Date</w:t>
            </w:r>
          </w:p>
        </w:tc>
      </w:tr>
      <w:tr w:rsidR="00326E64" w:rsidRPr="00326E64" w14:paraId="54AAA4DF" w14:textId="77777777" w:rsidTr="00A54079">
        <w:trPr>
          <w:gridAfter w:val="1"/>
          <w:wAfter w:w="13" w:type="dxa"/>
          <w:cantSplit/>
          <w:tblHeader/>
        </w:trPr>
        <w:tc>
          <w:tcPr>
            <w:tcW w:w="2930" w:type="dxa"/>
            <w:tcBorders>
              <w:top w:val="single" w:sz="6" w:space="0" w:color="auto"/>
            </w:tcBorders>
          </w:tcPr>
          <w:p w14:paraId="6E3691F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January – December</w:t>
            </w:r>
          </w:p>
        </w:tc>
        <w:tc>
          <w:tcPr>
            <w:tcW w:w="4180" w:type="dxa"/>
            <w:tcBorders>
              <w:top w:val="single" w:sz="6" w:space="0" w:color="auto"/>
            </w:tcBorders>
          </w:tcPr>
          <w:p w14:paraId="3E8A249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February 19</w:t>
            </w:r>
          </w:p>
        </w:tc>
      </w:tr>
    </w:tbl>
    <w:p w14:paraId="3183EE0F" w14:textId="77777777" w:rsidR="00326E64" w:rsidRPr="00326E64" w:rsidRDefault="00326E64" w:rsidP="00326E64">
      <w:pPr>
        <w:spacing w:line="480" w:lineRule="auto"/>
        <w:rPr>
          <w:rFonts w:ascii="Times New Roman" w:eastAsia="Calibri" w:hAnsi="Times New Roman" w:cs="Times New Roman"/>
          <w:u w:val="single"/>
        </w:rPr>
      </w:pPr>
    </w:p>
    <w:p w14:paraId="2D50704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8.</w:t>
      </w:r>
      <w:r w:rsidRPr="00326E64">
        <w:rPr>
          <w:rFonts w:ascii="Times New Roman" w:eastAsia="Calibri" w:hAnsi="Times New Roman" w:cs="Times New Roman"/>
          <w:u w:val="single"/>
        </w:rPr>
        <w:tab/>
        <w:t>Table 8—Once Per Quarter Reporting Period</w:t>
      </w:r>
    </w:p>
    <w:tbl>
      <w:tblPr>
        <w:tblW w:w="7110" w:type="dxa"/>
        <w:tblInd w:w="2227"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ook w:val="0000" w:firstRow="0" w:lastRow="0" w:firstColumn="0" w:lastColumn="0" w:noHBand="0" w:noVBand="0"/>
      </w:tblPr>
      <w:tblGrid>
        <w:gridCol w:w="2970"/>
        <w:gridCol w:w="4140"/>
      </w:tblGrid>
      <w:tr w:rsidR="00326E64" w:rsidRPr="00326E64" w14:paraId="6835713D" w14:textId="77777777" w:rsidTr="00A54079">
        <w:trPr>
          <w:cantSplit/>
          <w:tblHeader/>
        </w:trPr>
        <w:tc>
          <w:tcPr>
            <w:tcW w:w="7110" w:type="dxa"/>
            <w:gridSpan w:val="2"/>
            <w:tcBorders>
              <w:top w:val="double" w:sz="6" w:space="0" w:color="auto"/>
              <w:bottom w:val="single" w:sz="6" w:space="0" w:color="auto"/>
            </w:tcBorders>
            <w:shd w:val="clear" w:color="auto" w:fill="auto"/>
            <w:vAlign w:val="center"/>
          </w:tcPr>
          <w:p w14:paraId="01EFD11A" w14:textId="77777777" w:rsidR="00326E64" w:rsidRPr="00326E64" w:rsidRDefault="00326E64" w:rsidP="00326E64">
            <w:pPr>
              <w:spacing w:line="480" w:lineRule="auto"/>
              <w:ind w:left="-195" w:firstLine="195"/>
              <w:rPr>
                <w:rFonts w:ascii="Times New Roman" w:eastAsia="Calibri" w:hAnsi="Times New Roman" w:cs="Times New Roman"/>
                <w:b/>
                <w:u w:val="single"/>
              </w:rPr>
            </w:pPr>
            <w:r w:rsidRPr="00326E64">
              <w:rPr>
                <w:rFonts w:ascii="Times New Roman" w:eastAsia="Calibri" w:hAnsi="Times New Roman" w:cs="Times New Roman"/>
                <w:b/>
                <w:u w:val="single"/>
              </w:rPr>
              <w:lastRenderedPageBreak/>
              <w:t>Table 8 of LAC 33:IX.7303.F</w:t>
            </w:r>
          </w:p>
        </w:tc>
      </w:tr>
      <w:tr w:rsidR="00326E64" w:rsidRPr="00326E64" w14:paraId="4EE3DC5A" w14:textId="77777777" w:rsidTr="00A54079">
        <w:trPr>
          <w:cantSplit/>
          <w:tblHeader/>
        </w:trPr>
        <w:tc>
          <w:tcPr>
            <w:tcW w:w="7110" w:type="dxa"/>
            <w:gridSpan w:val="2"/>
            <w:tcBorders>
              <w:top w:val="single" w:sz="6" w:space="0" w:color="auto"/>
              <w:bottom w:val="single" w:sz="6" w:space="0" w:color="auto"/>
            </w:tcBorders>
            <w:shd w:val="clear" w:color="auto" w:fill="auto"/>
            <w:vAlign w:val="center"/>
          </w:tcPr>
          <w:p w14:paraId="6546241A"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Reporting—Land Application (Exceptional Quality and Class B Biosolids)</w:t>
            </w:r>
          </w:p>
        </w:tc>
      </w:tr>
      <w:tr w:rsidR="00326E64" w:rsidRPr="00326E64" w14:paraId="39FBF7F2" w14:textId="77777777" w:rsidTr="00A54079">
        <w:trPr>
          <w:cantSplit/>
          <w:tblHeader/>
        </w:trPr>
        <w:tc>
          <w:tcPr>
            <w:tcW w:w="2970" w:type="dxa"/>
            <w:tcBorders>
              <w:top w:val="single" w:sz="6" w:space="0" w:color="auto"/>
              <w:bottom w:val="single" w:sz="6" w:space="0" w:color="auto"/>
              <w:right w:val="single" w:sz="6" w:space="0" w:color="auto"/>
            </w:tcBorders>
            <w:shd w:val="clear" w:color="auto" w:fill="auto"/>
            <w:vAlign w:val="center"/>
          </w:tcPr>
          <w:p w14:paraId="1689398C"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Monitoring Period</w:t>
            </w:r>
            <w:r w:rsidRPr="00326E64">
              <w:rPr>
                <w:rFonts w:ascii="Times New Roman" w:eastAsia="Calibri" w:hAnsi="Times New Roman" w:cs="Times New Roman"/>
                <w:b/>
                <w:u w:val="single"/>
                <w:vertAlign w:val="superscript"/>
              </w:rPr>
              <w:t>1</w:t>
            </w:r>
          </w:p>
          <w:p w14:paraId="297162F6"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(Once per Quarter)</w:t>
            </w:r>
          </w:p>
        </w:tc>
        <w:tc>
          <w:tcPr>
            <w:tcW w:w="4140" w:type="dxa"/>
            <w:tcBorders>
              <w:top w:val="single" w:sz="6" w:space="0" w:color="auto"/>
              <w:left w:val="single" w:sz="6" w:space="0" w:color="auto"/>
              <w:bottom w:val="single" w:sz="6" w:space="0" w:color="auto"/>
            </w:tcBorders>
            <w:shd w:val="clear" w:color="auto" w:fill="auto"/>
            <w:vAlign w:val="center"/>
          </w:tcPr>
          <w:p w14:paraId="7DEE4C8F"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Report Due Date</w:t>
            </w:r>
          </w:p>
        </w:tc>
      </w:tr>
      <w:tr w:rsidR="00326E64" w:rsidRPr="00326E64" w14:paraId="70BCC516" w14:textId="77777777" w:rsidTr="00A54079">
        <w:trPr>
          <w:cantSplit/>
          <w:tblHeader/>
        </w:trPr>
        <w:tc>
          <w:tcPr>
            <w:tcW w:w="2970" w:type="dxa"/>
            <w:tcBorders>
              <w:top w:val="single" w:sz="6" w:space="0" w:color="auto"/>
              <w:bottom w:val="single" w:sz="6" w:space="0" w:color="auto"/>
              <w:right w:val="single" w:sz="6" w:space="0" w:color="auto"/>
            </w:tcBorders>
          </w:tcPr>
          <w:p w14:paraId="1263CB4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January, February, March</w:t>
            </w:r>
          </w:p>
        </w:tc>
        <w:tc>
          <w:tcPr>
            <w:tcW w:w="4140" w:type="dxa"/>
            <w:vMerge w:val="restart"/>
            <w:tcBorders>
              <w:top w:val="single" w:sz="6" w:space="0" w:color="auto"/>
              <w:left w:val="single" w:sz="6" w:space="0" w:color="auto"/>
              <w:bottom w:val="single" w:sz="6" w:space="0" w:color="auto"/>
            </w:tcBorders>
            <w:vAlign w:val="center"/>
          </w:tcPr>
          <w:p w14:paraId="1979CD1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August 19</w:t>
            </w:r>
          </w:p>
        </w:tc>
      </w:tr>
      <w:tr w:rsidR="00326E64" w:rsidRPr="00326E64" w14:paraId="23405086" w14:textId="77777777" w:rsidTr="00A54079">
        <w:trPr>
          <w:cantSplit/>
          <w:tblHeader/>
        </w:trPr>
        <w:tc>
          <w:tcPr>
            <w:tcW w:w="2970" w:type="dxa"/>
            <w:tcBorders>
              <w:top w:val="single" w:sz="6" w:space="0" w:color="auto"/>
              <w:bottom w:val="single" w:sz="6" w:space="0" w:color="auto"/>
              <w:right w:val="single" w:sz="6" w:space="0" w:color="auto"/>
            </w:tcBorders>
          </w:tcPr>
          <w:p w14:paraId="14E1DAE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April, May, June</w:t>
            </w:r>
          </w:p>
        </w:tc>
        <w:tc>
          <w:tcPr>
            <w:tcW w:w="4140" w:type="dxa"/>
            <w:vMerge/>
            <w:tcBorders>
              <w:top w:val="single" w:sz="6" w:space="0" w:color="auto"/>
              <w:left w:val="single" w:sz="6" w:space="0" w:color="auto"/>
              <w:bottom w:val="single" w:sz="6" w:space="0" w:color="auto"/>
            </w:tcBorders>
          </w:tcPr>
          <w:p w14:paraId="37967CD9" w14:textId="77777777" w:rsidR="00326E64" w:rsidRPr="00326E64" w:rsidRDefault="00326E64" w:rsidP="00326E64">
            <w:pPr>
              <w:spacing w:line="480" w:lineRule="auto"/>
              <w:rPr>
                <w:rFonts w:ascii="Times New Roman" w:eastAsia="Calibri" w:hAnsi="Times New Roman" w:cs="Times New Roman"/>
                <w:u w:val="single"/>
              </w:rPr>
            </w:pPr>
          </w:p>
        </w:tc>
      </w:tr>
      <w:tr w:rsidR="00326E64" w:rsidRPr="00326E64" w14:paraId="56805A31" w14:textId="77777777" w:rsidTr="00A54079">
        <w:trPr>
          <w:cantSplit/>
          <w:tblHeader/>
        </w:trPr>
        <w:tc>
          <w:tcPr>
            <w:tcW w:w="2970" w:type="dxa"/>
            <w:tcBorders>
              <w:top w:val="single" w:sz="6" w:space="0" w:color="auto"/>
              <w:bottom w:val="single" w:sz="6" w:space="0" w:color="auto"/>
              <w:right w:val="single" w:sz="6" w:space="0" w:color="auto"/>
            </w:tcBorders>
          </w:tcPr>
          <w:p w14:paraId="755DE74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July, August, September</w:t>
            </w:r>
          </w:p>
        </w:tc>
        <w:tc>
          <w:tcPr>
            <w:tcW w:w="4140" w:type="dxa"/>
            <w:vMerge w:val="restart"/>
            <w:tcBorders>
              <w:top w:val="single" w:sz="6" w:space="0" w:color="auto"/>
              <w:left w:val="single" w:sz="6" w:space="0" w:color="auto"/>
              <w:bottom w:val="single" w:sz="6" w:space="0" w:color="auto"/>
            </w:tcBorders>
            <w:vAlign w:val="center"/>
          </w:tcPr>
          <w:p w14:paraId="2E7EEE1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February 19</w:t>
            </w:r>
          </w:p>
        </w:tc>
      </w:tr>
      <w:tr w:rsidR="00326E64" w:rsidRPr="00326E64" w14:paraId="23DB3D24" w14:textId="77777777" w:rsidTr="00A54079">
        <w:trPr>
          <w:cantSplit/>
          <w:tblHeader/>
        </w:trPr>
        <w:tc>
          <w:tcPr>
            <w:tcW w:w="2970" w:type="dxa"/>
            <w:tcBorders>
              <w:top w:val="single" w:sz="6" w:space="0" w:color="auto"/>
              <w:bottom w:val="single" w:sz="6" w:space="0" w:color="auto"/>
              <w:right w:val="single" w:sz="6" w:space="0" w:color="auto"/>
            </w:tcBorders>
          </w:tcPr>
          <w:p w14:paraId="1510FD5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October, November, December</w:t>
            </w:r>
          </w:p>
        </w:tc>
        <w:tc>
          <w:tcPr>
            <w:tcW w:w="4140" w:type="dxa"/>
            <w:vMerge/>
            <w:tcBorders>
              <w:top w:val="single" w:sz="6" w:space="0" w:color="auto"/>
              <w:left w:val="single" w:sz="6" w:space="0" w:color="auto"/>
              <w:bottom w:val="single" w:sz="6" w:space="0" w:color="auto"/>
            </w:tcBorders>
          </w:tcPr>
          <w:p w14:paraId="47D3CFE4" w14:textId="77777777" w:rsidR="00326E64" w:rsidRPr="00326E64" w:rsidRDefault="00326E64" w:rsidP="00326E64">
            <w:pPr>
              <w:spacing w:line="480" w:lineRule="auto"/>
              <w:rPr>
                <w:rFonts w:ascii="Times New Roman" w:eastAsia="Calibri" w:hAnsi="Times New Roman" w:cs="Times New Roman"/>
                <w:u w:val="single"/>
              </w:rPr>
            </w:pPr>
          </w:p>
        </w:tc>
      </w:tr>
      <w:tr w:rsidR="00326E64" w:rsidRPr="00326E64" w14:paraId="26B5B328" w14:textId="77777777" w:rsidTr="00A54079">
        <w:trPr>
          <w:cantSplit/>
          <w:trHeight w:val="102"/>
          <w:tblHeader/>
        </w:trPr>
        <w:tc>
          <w:tcPr>
            <w:tcW w:w="7110" w:type="dxa"/>
            <w:gridSpan w:val="2"/>
            <w:tcBorders>
              <w:top w:val="single" w:sz="6" w:space="0" w:color="auto"/>
              <w:bottom w:val="double" w:sz="6" w:space="0" w:color="auto"/>
            </w:tcBorders>
            <w:vAlign w:val="center"/>
          </w:tcPr>
          <w:p w14:paraId="2CC5435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vertAlign w:val="superscript"/>
              </w:rPr>
              <w:t>1</w:t>
            </w:r>
            <w:r w:rsidRPr="00326E64">
              <w:rPr>
                <w:rFonts w:ascii="Times New Roman" w:eastAsia="Calibri" w:hAnsi="Times New Roman" w:cs="Times New Roman"/>
                <w:u w:val="single"/>
              </w:rPr>
              <w:t>Separate reports must be submitted for each monitoring period.</w:t>
            </w:r>
          </w:p>
        </w:tc>
      </w:tr>
    </w:tbl>
    <w:p w14:paraId="23A6C8BE" w14:textId="77777777" w:rsidR="00326E64" w:rsidRPr="00326E64" w:rsidRDefault="00326E64" w:rsidP="00326E64">
      <w:pPr>
        <w:spacing w:line="480" w:lineRule="auto"/>
        <w:rPr>
          <w:rFonts w:ascii="Times New Roman" w:eastAsia="Calibri" w:hAnsi="Times New Roman" w:cs="Times New Roman"/>
          <w:u w:val="single"/>
        </w:rPr>
      </w:pPr>
    </w:p>
    <w:p w14:paraId="506FF83D"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9.</w:t>
      </w:r>
      <w:r w:rsidRPr="00326E64">
        <w:rPr>
          <w:rFonts w:ascii="Times New Roman" w:eastAsia="Calibri" w:hAnsi="Times New Roman" w:cs="Times New Roman"/>
          <w:u w:val="single"/>
        </w:rPr>
        <w:tab/>
        <w:t>Table 9—Once per 60 Days (6 Times per Year) Reporting Period</w:t>
      </w:r>
    </w:p>
    <w:tbl>
      <w:tblPr>
        <w:tblW w:w="7110" w:type="dxa"/>
        <w:tblInd w:w="2235"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ook w:val="0000" w:firstRow="0" w:lastRow="0" w:firstColumn="0" w:lastColumn="0" w:noHBand="0" w:noVBand="0"/>
      </w:tblPr>
      <w:tblGrid>
        <w:gridCol w:w="2931"/>
        <w:gridCol w:w="4179"/>
      </w:tblGrid>
      <w:tr w:rsidR="00326E64" w:rsidRPr="00326E64" w14:paraId="12383339" w14:textId="77777777" w:rsidTr="00A54079">
        <w:trPr>
          <w:cantSplit/>
          <w:tblHeader/>
        </w:trPr>
        <w:tc>
          <w:tcPr>
            <w:tcW w:w="7110" w:type="dxa"/>
            <w:gridSpan w:val="2"/>
            <w:tcBorders>
              <w:top w:val="double" w:sz="4" w:space="0" w:color="auto"/>
              <w:left w:val="double" w:sz="4" w:space="0" w:color="auto"/>
              <w:bottom w:val="single" w:sz="6" w:space="0" w:color="auto"/>
              <w:right w:val="double" w:sz="4" w:space="0" w:color="auto"/>
            </w:tcBorders>
            <w:shd w:val="clear" w:color="auto" w:fill="auto"/>
            <w:vAlign w:val="center"/>
          </w:tcPr>
          <w:p w14:paraId="7293267B"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Table 9 of LAC 33:IX.7303.F</w:t>
            </w:r>
          </w:p>
        </w:tc>
      </w:tr>
      <w:tr w:rsidR="00326E64" w:rsidRPr="00326E64" w14:paraId="73D755F2" w14:textId="77777777" w:rsidTr="00A54079">
        <w:trPr>
          <w:cantSplit/>
          <w:tblHeader/>
        </w:trPr>
        <w:tc>
          <w:tcPr>
            <w:tcW w:w="7110" w:type="dxa"/>
            <w:gridSpan w:val="2"/>
            <w:tcBorders>
              <w:top w:val="single" w:sz="6" w:space="0" w:color="auto"/>
              <w:left w:val="double" w:sz="4" w:space="0" w:color="auto"/>
              <w:bottom w:val="single" w:sz="6" w:space="0" w:color="auto"/>
              <w:right w:val="double" w:sz="4" w:space="0" w:color="auto"/>
            </w:tcBorders>
            <w:shd w:val="clear" w:color="auto" w:fill="auto"/>
            <w:vAlign w:val="center"/>
          </w:tcPr>
          <w:p w14:paraId="1111D2F9"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Reporting—Land Application (Class B Biosolids)</w:t>
            </w:r>
          </w:p>
        </w:tc>
      </w:tr>
      <w:tr w:rsidR="00326E64" w:rsidRPr="00326E64" w14:paraId="24568632" w14:textId="77777777" w:rsidTr="00A54079">
        <w:trPr>
          <w:cantSplit/>
          <w:tblHeader/>
        </w:trPr>
        <w:tc>
          <w:tcPr>
            <w:tcW w:w="2931" w:type="dxa"/>
            <w:tcBorders>
              <w:top w:val="single" w:sz="6" w:space="0" w:color="auto"/>
              <w:left w:val="double" w:sz="4" w:space="0" w:color="auto"/>
              <w:bottom w:val="single" w:sz="6" w:space="0" w:color="auto"/>
            </w:tcBorders>
            <w:shd w:val="clear" w:color="auto" w:fill="auto"/>
            <w:vAlign w:val="center"/>
          </w:tcPr>
          <w:p w14:paraId="27092DA9"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Monitoring Period</w:t>
            </w:r>
            <w:r w:rsidRPr="00326E64">
              <w:rPr>
                <w:rFonts w:ascii="Times New Roman" w:eastAsia="Calibri" w:hAnsi="Times New Roman" w:cs="Times New Roman"/>
                <w:b/>
                <w:u w:val="single"/>
                <w:vertAlign w:val="superscript"/>
              </w:rPr>
              <w:t>1</w:t>
            </w:r>
          </w:p>
          <w:p w14:paraId="262972E7"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(Once per 60 Days)</w:t>
            </w:r>
          </w:p>
        </w:tc>
        <w:tc>
          <w:tcPr>
            <w:tcW w:w="4179" w:type="dxa"/>
            <w:tcBorders>
              <w:top w:val="single" w:sz="6" w:space="0" w:color="auto"/>
              <w:bottom w:val="single" w:sz="6" w:space="0" w:color="auto"/>
              <w:right w:val="double" w:sz="4" w:space="0" w:color="auto"/>
            </w:tcBorders>
            <w:shd w:val="clear" w:color="auto" w:fill="auto"/>
            <w:vAlign w:val="center"/>
          </w:tcPr>
          <w:p w14:paraId="1F29DED6"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Report Due Date</w:t>
            </w:r>
          </w:p>
        </w:tc>
      </w:tr>
      <w:tr w:rsidR="00326E64" w:rsidRPr="00326E64" w14:paraId="3219DCB1" w14:textId="77777777" w:rsidTr="00A54079">
        <w:trPr>
          <w:cantSplit/>
        </w:trPr>
        <w:tc>
          <w:tcPr>
            <w:tcW w:w="2931" w:type="dxa"/>
            <w:tcBorders>
              <w:top w:val="single" w:sz="6" w:space="0" w:color="auto"/>
              <w:left w:val="double" w:sz="4" w:space="0" w:color="auto"/>
              <w:bottom w:val="single" w:sz="6" w:space="0" w:color="auto"/>
              <w:right w:val="single" w:sz="6" w:space="0" w:color="auto"/>
            </w:tcBorders>
          </w:tcPr>
          <w:p w14:paraId="2666E67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January, February</w:t>
            </w:r>
          </w:p>
        </w:tc>
        <w:tc>
          <w:tcPr>
            <w:tcW w:w="4179" w:type="dxa"/>
            <w:vMerge w:val="restart"/>
            <w:tcBorders>
              <w:top w:val="single" w:sz="6" w:space="0" w:color="auto"/>
              <w:left w:val="single" w:sz="6" w:space="0" w:color="auto"/>
              <w:bottom w:val="single" w:sz="6" w:space="0" w:color="auto"/>
              <w:right w:val="double" w:sz="4" w:space="0" w:color="auto"/>
            </w:tcBorders>
            <w:vAlign w:val="center"/>
          </w:tcPr>
          <w:p w14:paraId="54A3FC7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June 19</w:t>
            </w:r>
          </w:p>
        </w:tc>
      </w:tr>
      <w:tr w:rsidR="00326E64" w:rsidRPr="00326E64" w14:paraId="58A73851" w14:textId="77777777" w:rsidTr="00A54079">
        <w:trPr>
          <w:cantSplit/>
        </w:trPr>
        <w:tc>
          <w:tcPr>
            <w:tcW w:w="2931" w:type="dxa"/>
            <w:tcBorders>
              <w:top w:val="single" w:sz="6" w:space="0" w:color="auto"/>
              <w:left w:val="double" w:sz="4" w:space="0" w:color="auto"/>
              <w:bottom w:val="single" w:sz="6" w:space="0" w:color="auto"/>
              <w:right w:val="single" w:sz="6" w:space="0" w:color="auto"/>
            </w:tcBorders>
          </w:tcPr>
          <w:p w14:paraId="25343C4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March, April</w:t>
            </w:r>
          </w:p>
        </w:tc>
        <w:tc>
          <w:tcPr>
            <w:tcW w:w="4179" w:type="dxa"/>
            <w:vMerge/>
            <w:tcBorders>
              <w:top w:val="single" w:sz="6" w:space="0" w:color="auto"/>
              <w:left w:val="single" w:sz="6" w:space="0" w:color="auto"/>
              <w:bottom w:val="single" w:sz="6" w:space="0" w:color="auto"/>
              <w:right w:val="double" w:sz="4" w:space="0" w:color="auto"/>
            </w:tcBorders>
            <w:vAlign w:val="center"/>
          </w:tcPr>
          <w:p w14:paraId="5FF86E2A" w14:textId="77777777" w:rsidR="00326E64" w:rsidRPr="00326E64" w:rsidRDefault="00326E64" w:rsidP="00326E64">
            <w:pPr>
              <w:spacing w:line="480" w:lineRule="auto"/>
              <w:rPr>
                <w:rFonts w:ascii="Times New Roman" w:eastAsia="Calibri" w:hAnsi="Times New Roman" w:cs="Times New Roman"/>
                <w:u w:val="single"/>
              </w:rPr>
            </w:pPr>
          </w:p>
        </w:tc>
      </w:tr>
      <w:tr w:rsidR="00326E64" w:rsidRPr="00326E64" w14:paraId="26797A2B" w14:textId="77777777" w:rsidTr="00A54079">
        <w:trPr>
          <w:cantSplit/>
        </w:trPr>
        <w:tc>
          <w:tcPr>
            <w:tcW w:w="2931" w:type="dxa"/>
            <w:tcBorders>
              <w:top w:val="single" w:sz="6" w:space="0" w:color="auto"/>
              <w:left w:val="double" w:sz="4" w:space="0" w:color="auto"/>
              <w:bottom w:val="single" w:sz="6" w:space="0" w:color="auto"/>
            </w:tcBorders>
          </w:tcPr>
          <w:p w14:paraId="22286D5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May, June</w:t>
            </w:r>
          </w:p>
        </w:tc>
        <w:tc>
          <w:tcPr>
            <w:tcW w:w="4179" w:type="dxa"/>
            <w:vMerge w:val="restart"/>
            <w:tcBorders>
              <w:top w:val="single" w:sz="6" w:space="0" w:color="auto"/>
              <w:bottom w:val="single" w:sz="6" w:space="0" w:color="auto"/>
              <w:right w:val="double" w:sz="4" w:space="0" w:color="auto"/>
            </w:tcBorders>
            <w:vAlign w:val="center"/>
          </w:tcPr>
          <w:p w14:paraId="03F699D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October 19</w:t>
            </w:r>
          </w:p>
        </w:tc>
      </w:tr>
      <w:tr w:rsidR="00326E64" w:rsidRPr="00326E64" w14:paraId="1BC2B9EE" w14:textId="77777777" w:rsidTr="00A54079">
        <w:trPr>
          <w:cantSplit/>
        </w:trPr>
        <w:tc>
          <w:tcPr>
            <w:tcW w:w="2931" w:type="dxa"/>
            <w:tcBorders>
              <w:top w:val="single" w:sz="6" w:space="0" w:color="auto"/>
              <w:left w:val="double" w:sz="4" w:space="0" w:color="auto"/>
              <w:bottom w:val="single" w:sz="6" w:space="0" w:color="auto"/>
            </w:tcBorders>
          </w:tcPr>
          <w:p w14:paraId="1D50970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July, August</w:t>
            </w:r>
          </w:p>
        </w:tc>
        <w:tc>
          <w:tcPr>
            <w:tcW w:w="4179" w:type="dxa"/>
            <w:vMerge/>
            <w:tcBorders>
              <w:top w:val="single" w:sz="6" w:space="0" w:color="auto"/>
              <w:bottom w:val="single" w:sz="6" w:space="0" w:color="auto"/>
              <w:right w:val="double" w:sz="4" w:space="0" w:color="auto"/>
            </w:tcBorders>
            <w:vAlign w:val="center"/>
          </w:tcPr>
          <w:p w14:paraId="37BE54A9" w14:textId="77777777" w:rsidR="00326E64" w:rsidRPr="00326E64" w:rsidRDefault="00326E64" w:rsidP="00326E64">
            <w:pPr>
              <w:spacing w:line="480" w:lineRule="auto"/>
              <w:rPr>
                <w:rFonts w:ascii="Times New Roman" w:eastAsia="Calibri" w:hAnsi="Times New Roman" w:cs="Times New Roman"/>
                <w:u w:val="single"/>
              </w:rPr>
            </w:pPr>
          </w:p>
        </w:tc>
      </w:tr>
      <w:tr w:rsidR="00326E64" w:rsidRPr="00326E64" w14:paraId="5E79E94B" w14:textId="77777777" w:rsidTr="00A54079">
        <w:trPr>
          <w:cantSplit/>
        </w:trPr>
        <w:tc>
          <w:tcPr>
            <w:tcW w:w="2931" w:type="dxa"/>
            <w:tcBorders>
              <w:top w:val="single" w:sz="6" w:space="0" w:color="auto"/>
              <w:left w:val="double" w:sz="4" w:space="0" w:color="auto"/>
              <w:bottom w:val="single" w:sz="6" w:space="0" w:color="auto"/>
            </w:tcBorders>
          </w:tcPr>
          <w:p w14:paraId="18638D7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September, October</w:t>
            </w:r>
          </w:p>
        </w:tc>
        <w:tc>
          <w:tcPr>
            <w:tcW w:w="4179" w:type="dxa"/>
            <w:vMerge w:val="restart"/>
            <w:tcBorders>
              <w:top w:val="single" w:sz="6" w:space="0" w:color="auto"/>
              <w:bottom w:val="single" w:sz="6" w:space="0" w:color="auto"/>
              <w:right w:val="double" w:sz="4" w:space="0" w:color="auto"/>
            </w:tcBorders>
            <w:vAlign w:val="center"/>
          </w:tcPr>
          <w:p w14:paraId="3E36FC4D"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February 19</w:t>
            </w:r>
          </w:p>
        </w:tc>
      </w:tr>
      <w:tr w:rsidR="00326E64" w:rsidRPr="00326E64" w14:paraId="3B6A2906" w14:textId="77777777" w:rsidTr="00A54079">
        <w:trPr>
          <w:cantSplit/>
        </w:trPr>
        <w:tc>
          <w:tcPr>
            <w:tcW w:w="2931" w:type="dxa"/>
            <w:tcBorders>
              <w:top w:val="single" w:sz="6" w:space="0" w:color="auto"/>
              <w:left w:val="double" w:sz="4" w:space="0" w:color="auto"/>
              <w:bottom w:val="single" w:sz="6" w:space="0" w:color="auto"/>
            </w:tcBorders>
          </w:tcPr>
          <w:p w14:paraId="05F7BB7D"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lastRenderedPageBreak/>
              <w:t>November, December</w:t>
            </w:r>
          </w:p>
        </w:tc>
        <w:tc>
          <w:tcPr>
            <w:tcW w:w="4179" w:type="dxa"/>
            <w:vMerge/>
            <w:tcBorders>
              <w:top w:val="single" w:sz="6" w:space="0" w:color="auto"/>
              <w:bottom w:val="single" w:sz="6" w:space="0" w:color="auto"/>
              <w:right w:val="double" w:sz="4" w:space="0" w:color="auto"/>
            </w:tcBorders>
          </w:tcPr>
          <w:p w14:paraId="0BE06AB4" w14:textId="77777777" w:rsidR="00326E64" w:rsidRPr="00326E64" w:rsidRDefault="00326E64" w:rsidP="00326E64">
            <w:pPr>
              <w:spacing w:line="480" w:lineRule="auto"/>
              <w:rPr>
                <w:rFonts w:ascii="Times New Roman" w:eastAsia="Calibri" w:hAnsi="Times New Roman" w:cs="Times New Roman"/>
                <w:u w:val="single"/>
              </w:rPr>
            </w:pPr>
          </w:p>
        </w:tc>
      </w:tr>
      <w:tr w:rsidR="00326E64" w:rsidRPr="00326E64" w14:paraId="14FAFBB6" w14:textId="77777777" w:rsidTr="00A54079">
        <w:trPr>
          <w:cantSplit/>
        </w:trPr>
        <w:tc>
          <w:tcPr>
            <w:tcW w:w="7110" w:type="dxa"/>
            <w:gridSpan w:val="2"/>
            <w:tcBorders>
              <w:top w:val="single" w:sz="6" w:space="0" w:color="auto"/>
              <w:left w:val="double" w:sz="4" w:space="0" w:color="auto"/>
              <w:bottom w:val="double" w:sz="4" w:space="0" w:color="auto"/>
              <w:right w:val="double" w:sz="4" w:space="0" w:color="auto"/>
            </w:tcBorders>
          </w:tcPr>
          <w:p w14:paraId="72B4966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vertAlign w:val="superscript"/>
              </w:rPr>
              <w:t>1</w:t>
            </w:r>
            <w:r w:rsidRPr="00326E64">
              <w:rPr>
                <w:rFonts w:ascii="Times New Roman" w:eastAsia="Calibri" w:hAnsi="Times New Roman" w:cs="Times New Roman"/>
                <w:u w:val="single"/>
              </w:rPr>
              <w:t>Separate reports must be submitted for each monitoring period.</w:t>
            </w:r>
          </w:p>
        </w:tc>
      </w:tr>
    </w:tbl>
    <w:p w14:paraId="7B972631" w14:textId="77777777" w:rsidR="00326E64" w:rsidRPr="00326E64" w:rsidRDefault="00326E64" w:rsidP="00326E64">
      <w:pPr>
        <w:spacing w:line="480" w:lineRule="auto"/>
        <w:rPr>
          <w:rFonts w:ascii="Times New Roman" w:eastAsia="Calibri" w:hAnsi="Times New Roman" w:cs="Times New Roman"/>
          <w:u w:val="single"/>
        </w:rPr>
      </w:pPr>
    </w:p>
    <w:p w14:paraId="70A1250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10.</w:t>
      </w:r>
      <w:r w:rsidRPr="00326E64">
        <w:rPr>
          <w:rFonts w:ascii="Times New Roman" w:eastAsia="Calibri" w:hAnsi="Times New Roman" w:cs="Times New Roman"/>
          <w:u w:val="single"/>
        </w:rPr>
        <w:tab/>
        <w:t>Table 10—Once per Month (12 Times per Year) Reporting Period</w:t>
      </w:r>
    </w:p>
    <w:tbl>
      <w:tblPr>
        <w:tblW w:w="7110" w:type="dxa"/>
        <w:tblInd w:w="222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931"/>
        <w:gridCol w:w="4179"/>
      </w:tblGrid>
      <w:tr w:rsidR="00326E64" w:rsidRPr="00326E64" w14:paraId="039B7FE7" w14:textId="77777777" w:rsidTr="00A54079">
        <w:trPr>
          <w:cantSplit/>
          <w:tblHeader/>
        </w:trPr>
        <w:tc>
          <w:tcPr>
            <w:tcW w:w="7110" w:type="dxa"/>
            <w:gridSpan w:val="2"/>
            <w:tcBorders>
              <w:top w:val="double" w:sz="6" w:space="0" w:color="auto"/>
              <w:bottom w:val="single" w:sz="6" w:space="0" w:color="auto"/>
            </w:tcBorders>
            <w:shd w:val="clear" w:color="auto" w:fill="auto"/>
            <w:vAlign w:val="center"/>
          </w:tcPr>
          <w:p w14:paraId="711667DD"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Table 10 of LAC 33:IX.7303.F</w:t>
            </w:r>
          </w:p>
        </w:tc>
      </w:tr>
      <w:tr w:rsidR="00326E64" w:rsidRPr="00326E64" w14:paraId="6185B6E2" w14:textId="77777777" w:rsidTr="00A54079">
        <w:trPr>
          <w:cantSplit/>
          <w:tblHeader/>
        </w:trPr>
        <w:tc>
          <w:tcPr>
            <w:tcW w:w="7110" w:type="dxa"/>
            <w:gridSpan w:val="2"/>
            <w:tcBorders>
              <w:top w:val="single" w:sz="6" w:space="0" w:color="auto"/>
              <w:bottom w:val="single" w:sz="6" w:space="0" w:color="auto"/>
            </w:tcBorders>
            <w:shd w:val="clear" w:color="auto" w:fill="auto"/>
            <w:vAlign w:val="center"/>
          </w:tcPr>
          <w:p w14:paraId="7F8662B5"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Reporting—Land Application (Exceptional Quality and Class B Biosolids)</w:t>
            </w:r>
          </w:p>
        </w:tc>
      </w:tr>
      <w:tr w:rsidR="00326E64" w:rsidRPr="00326E64" w14:paraId="3448D512" w14:textId="77777777" w:rsidTr="00A54079">
        <w:trPr>
          <w:cantSplit/>
          <w:tblHeader/>
        </w:trPr>
        <w:tc>
          <w:tcPr>
            <w:tcW w:w="2931" w:type="dxa"/>
            <w:tcBorders>
              <w:top w:val="single" w:sz="6" w:space="0" w:color="auto"/>
              <w:bottom w:val="single" w:sz="6" w:space="0" w:color="auto"/>
            </w:tcBorders>
            <w:shd w:val="clear" w:color="auto" w:fill="auto"/>
            <w:vAlign w:val="center"/>
          </w:tcPr>
          <w:p w14:paraId="61C5E320"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Monitoring Period</w:t>
            </w:r>
            <w:r w:rsidRPr="00326E64">
              <w:rPr>
                <w:rFonts w:ascii="Times New Roman" w:eastAsia="Calibri" w:hAnsi="Times New Roman" w:cs="Times New Roman"/>
                <w:b/>
                <w:u w:val="single"/>
                <w:vertAlign w:val="superscript"/>
              </w:rPr>
              <w:t>1</w:t>
            </w:r>
          </w:p>
          <w:p w14:paraId="7FA73975"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(Once per Month)</w:t>
            </w:r>
          </w:p>
        </w:tc>
        <w:tc>
          <w:tcPr>
            <w:tcW w:w="4179" w:type="dxa"/>
            <w:tcBorders>
              <w:top w:val="single" w:sz="6" w:space="0" w:color="auto"/>
              <w:bottom w:val="single" w:sz="6" w:space="0" w:color="auto"/>
            </w:tcBorders>
            <w:shd w:val="clear" w:color="auto" w:fill="auto"/>
            <w:vAlign w:val="center"/>
          </w:tcPr>
          <w:p w14:paraId="4D5440DA"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Report Due Date</w:t>
            </w:r>
          </w:p>
        </w:tc>
      </w:tr>
      <w:tr w:rsidR="00326E64" w:rsidRPr="00326E64" w14:paraId="49BE282B" w14:textId="77777777" w:rsidTr="00A54079">
        <w:trPr>
          <w:cantSplit/>
        </w:trPr>
        <w:tc>
          <w:tcPr>
            <w:tcW w:w="2931" w:type="dxa"/>
            <w:tcBorders>
              <w:top w:val="single" w:sz="6" w:space="0" w:color="auto"/>
            </w:tcBorders>
          </w:tcPr>
          <w:p w14:paraId="6922E04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January</w:t>
            </w:r>
          </w:p>
        </w:tc>
        <w:tc>
          <w:tcPr>
            <w:tcW w:w="4179" w:type="dxa"/>
            <w:vMerge w:val="restart"/>
            <w:tcBorders>
              <w:top w:val="single" w:sz="6" w:space="0" w:color="auto"/>
            </w:tcBorders>
            <w:vAlign w:val="center"/>
          </w:tcPr>
          <w:p w14:paraId="7A026A8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May 19</w:t>
            </w:r>
          </w:p>
        </w:tc>
      </w:tr>
      <w:tr w:rsidR="00326E64" w:rsidRPr="00326E64" w14:paraId="30980AF6" w14:textId="77777777" w:rsidTr="00A54079">
        <w:trPr>
          <w:cantSplit/>
        </w:trPr>
        <w:tc>
          <w:tcPr>
            <w:tcW w:w="2931" w:type="dxa"/>
          </w:tcPr>
          <w:p w14:paraId="1F17D32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February</w:t>
            </w:r>
          </w:p>
        </w:tc>
        <w:tc>
          <w:tcPr>
            <w:tcW w:w="4179" w:type="dxa"/>
            <w:vMerge/>
            <w:vAlign w:val="center"/>
          </w:tcPr>
          <w:p w14:paraId="700CA80E" w14:textId="77777777" w:rsidR="00326E64" w:rsidRPr="00326E64" w:rsidRDefault="00326E64" w:rsidP="00326E64">
            <w:pPr>
              <w:spacing w:line="480" w:lineRule="auto"/>
              <w:rPr>
                <w:rFonts w:ascii="Times New Roman" w:eastAsia="Calibri" w:hAnsi="Times New Roman" w:cs="Times New Roman"/>
                <w:u w:val="single"/>
              </w:rPr>
            </w:pPr>
          </w:p>
        </w:tc>
      </w:tr>
      <w:tr w:rsidR="00326E64" w:rsidRPr="00326E64" w14:paraId="2296BF84" w14:textId="77777777" w:rsidTr="00A54079">
        <w:trPr>
          <w:cantSplit/>
        </w:trPr>
        <w:tc>
          <w:tcPr>
            <w:tcW w:w="2931" w:type="dxa"/>
          </w:tcPr>
          <w:p w14:paraId="53E94C2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March</w:t>
            </w:r>
          </w:p>
        </w:tc>
        <w:tc>
          <w:tcPr>
            <w:tcW w:w="4179" w:type="dxa"/>
            <w:vMerge/>
            <w:vAlign w:val="center"/>
          </w:tcPr>
          <w:p w14:paraId="381BEE6E" w14:textId="77777777" w:rsidR="00326E64" w:rsidRPr="00326E64" w:rsidRDefault="00326E64" w:rsidP="00326E64">
            <w:pPr>
              <w:spacing w:line="480" w:lineRule="auto"/>
              <w:rPr>
                <w:rFonts w:ascii="Times New Roman" w:eastAsia="Calibri" w:hAnsi="Times New Roman" w:cs="Times New Roman"/>
                <w:u w:val="single"/>
              </w:rPr>
            </w:pPr>
          </w:p>
        </w:tc>
      </w:tr>
      <w:tr w:rsidR="00326E64" w:rsidRPr="00326E64" w14:paraId="4B6AFD5A" w14:textId="77777777" w:rsidTr="00A54079">
        <w:trPr>
          <w:cantSplit/>
        </w:trPr>
        <w:tc>
          <w:tcPr>
            <w:tcW w:w="2931" w:type="dxa"/>
          </w:tcPr>
          <w:p w14:paraId="0C3DDE5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April</w:t>
            </w:r>
          </w:p>
        </w:tc>
        <w:tc>
          <w:tcPr>
            <w:tcW w:w="4179" w:type="dxa"/>
            <w:vMerge w:val="restart"/>
            <w:vAlign w:val="center"/>
          </w:tcPr>
          <w:p w14:paraId="3C8813C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August 19</w:t>
            </w:r>
          </w:p>
        </w:tc>
      </w:tr>
      <w:tr w:rsidR="00326E64" w:rsidRPr="00326E64" w14:paraId="765965EE" w14:textId="77777777" w:rsidTr="00A54079">
        <w:trPr>
          <w:cantSplit/>
        </w:trPr>
        <w:tc>
          <w:tcPr>
            <w:tcW w:w="2931" w:type="dxa"/>
          </w:tcPr>
          <w:p w14:paraId="6286338B"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May</w:t>
            </w:r>
          </w:p>
        </w:tc>
        <w:tc>
          <w:tcPr>
            <w:tcW w:w="4179" w:type="dxa"/>
            <w:vMerge/>
            <w:vAlign w:val="center"/>
          </w:tcPr>
          <w:p w14:paraId="51745122" w14:textId="77777777" w:rsidR="00326E64" w:rsidRPr="00326E64" w:rsidRDefault="00326E64" w:rsidP="00326E64">
            <w:pPr>
              <w:spacing w:line="480" w:lineRule="auto"/>
              <w:rPr>
                <w:rFonts w:ascii="Times New Roman" w:eastAsia="Calibri" w:hAnsi="Times New Roman" w:cs="Times New Roman"/>
                <w:u w:val="single"/>
              </w:rPr>
            </w:pPr>
          </w:p>
        </w:tc>
      </w:tr>
      <w:tr w:rsidR="00326E64" w:rsidRPr="00326E64" w14:paraId="628191CE" w14:textId="77777777" w:rsidTr="00A54079">
        <w:trPr>
          <w:cantSplit/>
        </w:trPr>
        <w:tc>
          <w:tcPr>
            <w:tcW w:w="2931" w:type="dxa"/>
          </w:tcPr>
          <w:p w14:paraId="5EA860D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June</w:t>
            </w:r>
          </w:p>
        </w:tc>
        <w:tc>
          <w:tcPr>
            <w:tcW w:w="4179" w:type="dxa"/>
            <w:vMerge/>
            <w:vAlign w:val="center"/>
          </w:tcPr>
          <w:p w14:paraId="7C97B181" w14:textId="77777777" w:rsidR="00326E64" w:rsidRPr="00326E64" w:rsidRDefault="00326E64" w:rsidP="00326E64">
            <w:pPr>
              <w:spacing w:line="480" w:lineRule="auto"/>
              <w:rPr>
                <w:rFonts w:ascii="Times New Roman" w:eastAsia="Calibri" w:hAnsi="Times New Roman" w:cs="Times New Roman"/>
                <w:u w:val="single"/>
              </w:rPr>
            </w:pPr>
          </w:p>
        </w:tc>
      </w:tr>
      <w:tr w:rsidR="00326E64" w:rsidRPr="00326E64" w14:paraId="7A3285B6" w14:textId="77777777" w:rsidTr="00A54079">
        <w:trPr>
          <w:cantSplit/>
        </w:trPr>
        <w:tc>
          <w:tcPr>
            <w:tcW w:w="2931" w:type="dxa"/>
          </w:tcPr>
          <w:p w14:paraId="1FC3741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July</w:t>
            </w:r>
          </w:p>
        </w:tc>
        <w:tc>
          <w:tcPr>
            <w:tcW w:w="4179" w:type="dxa"/>
            <w:vMerge w:val="restart"/>
            <w:vAlign w:val="center"/>
          </w:tcPr>
          <w:p w14:paraId="284856B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November 19</w:t>
            </w:r>
          </w:p>
        </w:tc>
      </w:tr>
      <w:tr w:rsidR="00326E64" w:rsidRPr="00326E64" w14:paraId="19345047" w14:textId="77777777" w:rsidTr="00A54079">
        <w:trPr>
          <w:cantSplit/>
        </w:trPr>
        <w:tc>
          <w:tcPr>
            <w:tcW w:w="2931" w:type="dxa"/>
          </w:tcPr>
          <w:p w14:paraId="7F4086E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August</w:t>
            </w:r>
          </w:p>
        </w:tc>
        <w:tc>
          <w:tcPr>
            <w:tcW w:w="4179" w:type="dxa"/>
            <w:vMerge/>
            <w:vAlign w:val="center"/>
          </w:tcPr>
          <w:p w14:paraId="698472C8" w14:textId="77777777" w:rsidR="00326E64" w:rsidRPr="00326E64" w:rsidRDefault="00326E64" w:rsidP="00326E64">
            <w:pPr>
              <w:spacing w:line="480" w:lineRule="auto"/>
              <w:rPr>
                <w:rFonts w:ascii="Times New Roman" w:eastAsia="Calibri" w:hAnsi="Times New Roman" w:cs="Times New Roman"/>
                <w:u w:val="single"/>
              </w:rPr>
            </w:pPr>
          </w:p>
        </w:tc>
      </w:tr>
      <w:tr w:rsidR="00326E64" w:rsidRPr="00326E64" w14:paraId="5AD5579C" w14:textId="77777777" w:rsidTr="00A54079">
        <w:trPr>
          <w:cantSplit/>
        </w:trPr>
        <w:tc>
          <w:tcPr>
            <w:tcW w:w="2931" w:type="dxa"/>
          </w:tcPr>
          <w:p w14:paraId="06F883A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September</w:t>
            </w:r>
          </w:p>
        </w:tc>
        <w:tc>
          <w:tcPr>
            <w:tcW w:w="4179" w:type="dxa"/>
            <w:vMerge/>
            <w:vAlign w:val="center"/>
          </w:tcPr>
          <w:p w14:paraId="06E002BA" w14:textId="77777777" w:rsidR="00326E64" w:rsidRPr="00326E64" w:rsidRDefault="00326E64" w:rsidP="00326E64">
            <w:pPr>
              <w:spacing w:line="480" w:lineRule="auto"/>
              <w:rPr>
                <w:rFonts w:ascii="Times New Roman" w:eastAsia="Calibri" w:hAnsi="Times New Roman" w:cs="Times New Roman"/>
                <w:u w:val="single"/>
              </w:rPr>
            </w:pPr>
          </w:p>
        </w:tc>
      </w:tr>
      <w:tr w:rsidR="00326E64" w:rsidRPr="00326E64" w14:paraId="2275496D" w14:textId="77777777" w:rsidTr="00A54079">
        <w:trPr>
          <w:cantSplit/>
        </w:trPr>
        <w:tc>
          <w:tcPr>
            <w:tcW w:w="2931" w:type="dxa"/>
          </w:tcPr>
          <w:p w14:paraId="458EE4C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lastRenderedPageBreak/>
              <w:t>October</w:t>
            </w:r>
          </w:p>
        </w:tc>
        <w:tc>
          <w:tcPr>
            <w:tcW w:w="4179" w:type="dxa"/>
            <w:vMerge w:val="restart"/>
            <w:vAlign w:val="center"/>
          </w:tcPr>
          <w:p w14:paraId="15EC39E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February 19</w:t>
            </w:r>
          </w:p>
        </w:tc>
      </w:tr>
      <w:tr w:rsidR="00326E64" w:rsidRPr="00326E64" w14:paraId="3AEB2432" w14:textId="77777777" w:rsidTr="00A54079">
        <w:trPr>
          <w:cantSplit/>
        </w:trPr>
        <w:tc>
          <w:tcPr>
            <w:tcW w:w="2931" w:type="dxa"/>
          </w:tcPr>
          <w:p w14:paraId="088EA88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November</w:t>
            </w:r>
          </w:p>
        </w:tc>
        <w:tc>
          <w:tcPr>
            <w:tcW w:w="4179" w:type="dxa"/>
            <w:vMerge/>
          </w:tcPr>
          <w:p w14:paraId="63E3F2EC" w14:textId="77777777" w:rsidR="00326E64" w:rsidRPr="00326E64" w:rsidRDefault="00326E64" w:rsidP="00326E64">
            <w:pPr>
              <w:spacing w:line="480" w:lineRule="auto"/>
              <w:rPr>
                <w:rFonts w:ascii="Times New Roman" w:eastAsia="Calibri" w:hAnsi="Times New Roman" w:cs="Times New Roman"/>
                <w:u w:val="single"/>
              </w:rPr>
            </w:pPr>
          </w:p>
        </w:tc>
      </w:tr>
      <w:tr w:rsidR="00326E64" w:rsidRPr="00326E64" w14:paraId="3297B292" w14:textId="77777777" w:rsidTr="00A54079">
        <w:trPr>
          <w:cantSplit/>
        </w:trPr>
        <w:tc>
          <w:tcPr>
            <w:tcW w:w="2931" w:type="dxa"/>
          </w:tcPr>
          <w:p w14:paraId="69D8718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December</w:t>
            </w:r>
          </w:p>
        </w:tc>
        <w:tc>
          <w:tcPr>
            <w:tcW w:w="4179" w:type="dxa"/>
            <w:vMerge/>
          </w:tcPr>
          <w:p w14:paraId="2F88EA77" w14:textId="77777777" w:rsidR="00326E64" w:rsidRPr="00326E64" w:rsidRDefault="00326E64" w:rsidP="00326E64">
            <w:pPr>
              <w:spacing w:line="480" w:lineRule="auto"/>
              <w:rPr>
                <w:rFonts w:ascii="Times New Roman" w:eastAsia="Calibri" w:hAnsi="Times New Roman" w:cs="Times New Roman"/>
                <w:u w:val="single"/>
              </w:rPr>
            </w:pPr>
          </w:p>
        </w:tc>
      </w:tr>
      <w:tr w:rsidR="00326E64" w:rsidRPr="00326E64" w14:paraId="209723D2" w14:textId="77777777" w:rsidTr="00A54079">
        <w:trPr>
          <w:cantSplit/>
        </w:trPr>
        <w:tc>
          <w:tcPr>
            <w:tcW w:w="7110" w:type="dxa"/>
            <w:gridSpan w:val="2"/>
          </w:tcPr>
          <w:p w14:paraId="00AA4EA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vertAlign w:val="superscript"/>
              </w:rPr>
              <w:t>1</w:t>
            </w:r>
            <w:r w:rsidRPr="00326E64">
              <w:rPr>
                <w:rFonts w:ascii="Times New Roman" w:eastAsia="Calibri" w:hAnsi="Times New Roman" w:cs="Times New Roman"/>
                <w:u w:val="single"/>
              </w:rPr>
              <w:t>Separate reports must be submitted for each monitoring period.</w:t>
            </w:r>
          </w:p>
        </w:tc>
      </w:tr>
    </w:tbl>
    <w:p w14:paraId="61460502" w14:textId="77777777" w:rsidR="00326E64" w:rsidRPr="00326E64" w:rsidRDefault="00326E64" w:rsidP="00326E64">
      <w:pPr>
        <w:spacing w:line="480" w:lineRule="auto"/>
        <w:rPr>
          <w:rFonts w:ascii="Times New Roman" w:eastAsia="Calibri" w:hAnsi="Times New Roman" w:cs="Times New Roman"/>
          <w:u w:val="single"/>
        </w:rPr>
      </w:pPr>
    </w:p>
    <w:p w14:paraId="563AFB4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11.</w:t>
      </w:r>
      <w:r w:rsidRPr="00326E64">
        <w:rPr>
          <w:rFonts w:ascii="Times New Roman" w:eastAsia="Calibri" w:hAnsi="Times New Roman" w:cs="Times New Roman"/>
          <w:u w:val="single"/>
        </w:rPr>
        <w:tab/>
        <w:t>Table 11—Slope Limitations</w:t>
      </w:r>
    </w:p>
    <w:tbl>
      <w:tblPr>
        <w:tblW w:w="7020" w:type="dxa"/>
        <w:tblInd w:w="2227" w:type="dxa"/>
        <w:tblBorders>
          <w:top w:val="double" w:sz="6" w:space="0" w:color="auto"/>
          <w:left w:val="double" w:sz="6" w:space="0" w:color="auto"/>
          <w:bottom w:val="double" w:sz="6" w:space="0" w:color="auto"/>
          <w:right w:val="double" w:sz="6" w:space="0" w:color="auto"/>
          <w:insideH w:val="single" w:sz="6"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957"/>
        <w:gridCol w:w="5063"/>
      </w:tblGrid>
      <w:tr w:rsidR="00326E64" w:rsidRPr="00326E64" w14:paraId="6FB4E43E" w14:textId="77777777" w:rsidTr="00A54079">
        <w:trPr>
          <w:cantSplit/>
          <w:tblHeader/>
        </w:trPr>
        <w:tc>
          <w:tcPr>
            <w:tcW w:w="7020" w:type="dxa"/>
            <w:gridSpan w:val="2"/>
            <w:tcBorders>
              <w:top w:val="double" w:sz="6" w:space="0" w:color="auto"/>
              <w:bottom w:val="single" w:sz="6" w:space="0" w:color="000000"/>
            </w:tcBorders>
            <w:shd w:val="clear" w:color="auto" w:fill="auto"/>
          </w:tcPr>
          <w:p w14:paraId="2FC690FC"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Table 11 of LAC 33:IX.7303.F</w:t>
            </w:r>
          </w:p>
        </w:tc>
      </w:tr>
      <w:tr w:rsidR="00326E64" w:rsidRPr="00326E64" w14:paraId="1C738FF2" w14:textId="77777777" w:rsidTr="00A54079">
        <w:trPr>
          <w:cantSplit/>
          <w:tblHeader/>
        </w:trPr>
        <w:tc>
          <w:tcPr>
            <w:tcW w:w="7020" w:type="dxa"/>
            <w:gridSpan w:val="2"/>
            <w:tcBorders>
              <w:top w:val="single" w:sz="6" w:space="0" w:color="000000"/>
              <w:bottom w:val="single" w:sz="6" w:space="0" w:color="000000"/>
            </w:tcBorders>
            <w:shd w:val="clear" w:color="auto" w:fill="auto"/>
          </w:tcPr>
          <w:p w14:paraId="09A5106B"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Slope Limitations for Land Application of Biosolids</w:t>
            </w:r>
          </w:p>
        </w:tc>
      </w:tr>
      <w:tr w:rsidR="00326E64" w:rsidRPr="00326E64" w14:paraId="21BE8B13" w14:textId="77777777" w:rsidTr="00A54079">
        <w:trPr>
          <w:cantSplit/>
          <w:tblHeader/>
        </w:trPr>
        <w:tc>
          <w:tcPr>
            <w:tcW w:w="1957" w:type="dxa"/>
            <w:tcBorders>
              <w:top w:val="single" w:sz="6" w:space="0" w:color="000000"/>
              <w:bottom w:val="single" w:sz="6" w:space="0" w:color="000000"/>
            </w:tcBorders>
            <w:shd w:val="clear" w:color="auto" w:fill="auto"/>
          </w:tcPr>
          <w:p w14:paraId="1865FDCD"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Slope Percent</w:t>
            </w:r>
          </w:p>
        </w:tc>
        <w:tc>
          <w:tcPr>
            <w:tcW w:w="5063" w:type="dxa"/>
            <w:tcBorders>
              <w:top w:val="single" w:sz="6" w:space="0" w:color="000000"/>
              <w:bottom w:val="single" w:sz="6" w:space="0" w:color="000000"/>
            </w:tcBorders>
            <w:shd w:val="clear" w:color="auto" w:fill="auto"/>
            <w:vAlign w:val="center"/>
          </w:tcPr>
          <w:p w14:paraId="1BC64E82" w14:textId="77777777" w:rsidR="00326E64" w:rsidRPr="00326E64" w:rsidRDefault="00326E64" w:rsidP="00326E64">
            <w:pPr>
              <w:spacing w:line="480" w:lineRule="auto"/>
              <w:rPr>
                <w:rFonts w:ascii="Times New Roman" w:eastAsia="Calibri" w:hAnsi="Times New Roman" w:cs="Times New Roman"/>
                <w:b/>
                <w:u w:val="single"/>
              </w:rPr>
            </w:pPr>
            <w:r w:rsidRPr="00326E64">
              <w:rPr>
                <w:rFonts w:ascii="Times New Roman" w:eastAsia="Calibri" w:hAnsi="Times New Roman" w:cs="Times New Roman"/>
                <w:b/>
                <w:u w:val="single"/>
              </w:rPr>
              <w:t>Application Restriction</w:t>
            </w:r>
          </w:p>
        </w:tc>
      </w:tr>
      <w:tr w:rsidR="00326E64" w:rsidRPr="00326E64" w14:paraId="3F45145A" w14:textId="77777777" w:rsidTr="00A54079">
        <w:trPr>
          <w:cantSplit/>
        </w:trPr>
        <w:tc>
          <w:tcPr>
            <w:tcW w:w="1957" w:type="dxa"/>
            <w:tcBorders>
              <w:top w:val="single" w:sz="6" w:space="0" w:color="000000"/>
            </w:tcBorders>
          </w:tcPr>
          <w:p w14:paraId="25EA1412"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0-3</w:t>
            </w:r>
          </w:p>
        </w:tc>
        <w:tc>
          <w:tcPr>
            <w:tcW w:w="5063" w:type="dxa"/>
            <w:tcBorders>
              <w:top w:val="single" w:sz="6" w:space="0" w:color="000000"/>
            </w:tcBorders>
          </w:tcPr>
          <w:p w14:paraId="2010CAE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None, except drainage to prevent standing water shall be provided.</w:t>
            </w:r>
          </w:p>
        </w:tc>
      </w:tr>
      <w:tr w:rsidR="00326E64" w:rsidRPr="00326E64" w14:paraId="02A80AF5" w14:textId="77777777" w:rsidTr="00A54079">
        <w:trPr>
          <w:cantSplit/>
        </w:trPr>
        <w:tc>
          <w:tcPr>
            <w:tcW w:w="1957" w:type="dxa"/>
          </w:tcPr>
          <w:p w14:paraId="582A940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3-6</w:t>
            </w:r>
          </w:p>
        </w:tc>
        <w:tc>
          <w:tcPr>
            <w:tcW w:w="5063" w:type="dxa"/>
          </w:tcPr>
          <w:p w14:paraId="747D36B1"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A 100-foot vegetated runoff area should be provided at the down slope end of the application area if a liquid is applied. Measures should be taken to prevent erosion.</w:t>
            </w:r>
          </w:p>
        </w:tc>
      </w:tr>
      <w:tr w:rsidR="00326E64" w:rsidRPr="00326E64" w14:paraId="5A33CFC0" w14:textId="77777777" w:rsidTr="00A54079">
        <w:trPr>
          <w:cantSplit/>
        </w:trPr>
        <w:tc>
          <w:tcPr>
            <w:tcW w:w="1957" w:type="dxa"/>
          </w:tcPr>
          <w:p w14:paraId="03B906CA"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lastRenderedPageBreak/>
              <w:t>6-12</w:t>
            </w:r>
          </w:p>
        </w:tc>
        <w:tc>
          <w:tcPr>
            <w:tcW w:w="5063" w:type="dxa"/>
          </w:tcPr>
          <w:p w14:paraId="6C46262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Liquid material shall be injected into the soil. Solid material shall be incorporated into the soil if the site is not covered with vegetation. A 100-foot vegetated runoff area is required at the down slope end of the application area for all applications. Measures shall be taken to prevent erosion. Terracing may be required if deemed a necessity by the administrative authority to prevent runoff from the land application site and erosion.</w:t>
            </w:r>
          </w:p>
        </w:tc>
      </w:tr>
      <w:tr w:rsidR="00326E64" w:rsidRPr="00326E64" w14:paraId="44620A48" w14:textId="77777777" w:rsidTr="00A54079">
        <w:trPr>
          <w:cantSplit/>
        </w:trPr>
        <w:tc>
          <w:tcPr>
            <w:tcW w:w="1957" w:type="dxa"/>
          </w:tcPr>
          <w:p w14:paraId="10B5DF0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&gt;12</w:t>
            </w:r>
          </w:p>
        </w:tc>
        <w:tc>
          <w:tcPr>
            <w:tcW w:w="5063" w:type="dxa"/>
          </w:tcPr>
          <w:p w14:paraId="2C39E71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u w:val="single"/>
              </w:rPr>
              <w:t>Unsuitable for application unless terraces are constructed and a 200-foot vegetated buffer area with a slope of less than three percent is provided at the down slope edge of the application area and the material is incorporated (solid material) and injected (liquid material) into the soil. Measures shall be taken to prevent runoff from the land application site and to prevent erosion.</w:t>
            </w:r>
          </w:p>
        </w:tc>
      </w:tr>
    </w:tbl>
    <w:p w14:paraId="00315236" w14:textId="77777777" w:rsidR="00326E64" w:rsidRPr="00326E64" w:rsidRDefault="00326E64" w:rsidP="00326E64">
      <w:pPr>
        <w:spacing w:line="480" w:lineRule="auto"/>
        <w:rPr>
          <w:rFonts w:ascii="Times New Roman" w:eastAsia="Calibri" w:hAnsi="Times New Roman" w:cs="Times New Roman"/>
        </w:rPr>
      </w:pPr>
    </w:p>
    <w:p w14:paraId="7F2BA43A"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AUTHORITY NOTE:</w:t>
      </w:r>
      <w:r w:rsidRPr="00326E64">
        <w:rPr>
          <w:rFonts w:ascii="Times New Roman" w:eastAsia="Calibri" w:hAnsi="Times New Roman" w:cs="Times New Roman"/>
        </w:rPr>
        <w:tab/>
        <w:t>Promulgated in accordance with R.S. 30:2074(B)(1)(c) and (B)(3)(e).</w:t>
      </w:r>
    </w:p>
    <w:p w14:paraId="48483145"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lastRenderedPageBreak/>
        <w:tab/>
        <w:t>HISTORICAL NOTE:</w:t>
      </w:r>
      <w:r w:rsidRPr="00326E64">
        <w:rPr>
          <w:rFonts w:ascii="Times New Roman" w:eastAsia="Calibri" w:hAnsi="Times New Roman" w:cs="Times New Roman"/>
        </w:rPr>
        <w:tab/>
        <w:t>Promulgated by the Department of Environmental Quality, Office of Environmental Assessment, Environmental Planning Division, LR 28:785 (April 2002), repromulgated LR 30:233 (February 2004), amended by the Office of the Secretary, Legal Affairs Division, LR 33:2374 (November 2007), LR 35:929 (May 2009), LR 37:2994 (October 2011), amended by the Office of the Secretary, Legal Affairs Division, LR 51:</w:t>
      </w:r>
    </w:p>
    <w:p w14:paraId="1496F105" w14:textId="77777777" w:rsidR="00326E64" w:rsidRPr="00326E64" w:rsidRDefault="00326E64" w:rsidP="00326E64">
      <w:pPr>
        <w:tabs>
          <w:tab w:val="left" w:pos="288"/>
        </w:tabs>
        <w:rPr>
          <w:rFonts w:ascii="Times New Roman" w:eastAsia="Calibri" w:hAnsi="Times New Roman" w:cs="Times New Roman"/>
        </w:rPr>
      </w:pPr>
    </w:p>
    <w:p w14:paraId="7DA91532"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rPr>
        <w:t>§7305.</w:t>
      </w:r>
      <w:r w:rsidRPr="00326E64">
        <w:rPr>
          <w:rFonts w:ascii="Times New Roman" w:eastAsia="Calibri" w:hAnsi="Times New Roman" w:cs="Times New Roman"/>
          <w:b/>
        </w:rPr>
        <w:tab/>
        <w:t xml:space="preserve">Siting and Operation Requirements for Commercial Preparers of Sewage Sludge </w:t>
      </w:r>
      <w:r w:rsidRPr="00326E64">
        <w:rPr>
          <w:rFonts w:ascii="Times New Roman" w:eastAsia="Calibri" w:hAnsi="Times New Roman" w:cs="Times New Roman"/>
          <w:b/>
        </w:rPr>
        <w:tab/>
      </w:r>
      <w:r w:rsidRPr="00326E64">
        <w:rPr>
          <w:rFonts w:ascii="Times New Roman" w:eastAsia="Calibri" w:hAnsi="Times New Roman" w:cs="Times New Roman"/>
          <w:b/>
          <w:strike/>
        </w:rPr>
        <w:t>[Formerly §6905]</w:t>
      </w:r>
      <w:bookmarkEnd w:id="11"/>
      <w:bookmarkEnd w:id="12"/>
    </w:p>
    <w:p w14:paraId="5A9F0AD6" w14:textId="77777777" w:rsidR="00326E64" w:rsidRPr="00326E64" w:rsidRDefault="00326E64" w:rsidP="00326E64">
      <w:pPr>
        <w:spacing w:line="480" w:lineRule="auto"/>
        <w:ind w:firstLine="720"/>
        <w:rPr>
          <w:rFonts w:ascii="Times New Roman" w:eastAsia="Calibri" w:hAnsi="Times New Roman" w:cs="Times New Roman"/>
        </w:rPr>
      </w:pPr>
      <w:bookmarkStart w:id="13" w:name="_Toc483475159"/>
      <w:bookmarkStart w:id="14" w:name="TOC_Sect587"/>
      <w:r w:rsidRPr="00326E64">
        <w:rPr>
          <w:rFonts w:ascii="Times New Roman" w:eastAsia="Calibri" w:hAnsi="Times New Roman" w:cs="Times New Roman"/>
        </w:rPr>
        <w:t>A. — A.2.</w:t>
      </w:r>
      <w:r w:rsidRPr="00326E64">
        <w:rPr>
          <w:rFonts w:ascii="Times New Roman" w:eastAsia="Calibri" w:hAnsi="Times New Roman" w:cs="Times New Roman"/>
        </w:rPr>
        <w:tab/>
        <w:t>…</w:t>
      </w:r>
    </w:p>
    <w:p w14:paraId="226F8E55" w14:textId="77777777" w:rsidR="00326E64" w:rsidRPr="00326E64" w:rsidRDefault="00326E64" w:rsidP="00326E64">
      <w:pPr>
        <w:spacing w:line="480" w:lineRule="auto"/>
        <w:rPr>
          <w:rFonts w:ascii="Times New Roman" w:eastAsia="Calibri" w:hAnsi="Times New Roman" w:cs="Times New Roman"/>
          <w:color w:val="FF0000"/>
        </w:rPr>
      </w:pPr>
      <w:r w:rsidRPr="00326E64">
        <w:rPr>
          <w:rFonts w:ascii="Times New Roman" w:eastAsia="Calibri" w:hAnsi="Times New Roman" w:cs="Times New Roman"/>
        </w:rPr>
        <w:tab/>
        <w:t>B.</w:t>
      </w:r>
      <w:r w:rsidRPr="00326E64">
        <w:rPr>
          <w:rFonts w:ascii="Times New Roman" w:eastAsia="Calibri" w:hAnsi="Times New Roman" w:cs="Times New Roman"/>
        </w:rPr>
        <w:tab/>
        <w:t>Siting</w:t>
      </w:r>
      <w:r w:rsidRPr="00326E64">
        <w:rPr>
          <w:rFonts w:ascii="Times New Roman" w:eastAsia="Calibri" w:hAnsi="Times New Roman" w:cs="Times New Roman"/>
          <w:u w:val="single"/>
        </w:rPr>
        <w:t>—Class B Biosolids</w:t>
      </w:r>
    </w:p>
    <w:p w14:paraId="2CB41D8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1. — 1.m.</w:t>
      </w:r>
      <w:r w:rsidRPr="00326E64">
        <w:rPr>
          <w:rFonts w:ascii="Times New Roman" w:eastAsia="Calibri" w:hAnsi="Times New Roman" w:cs="Times New Roman"/>
        </w:rPr>
        <w:tab/>
        <w:t>…</w:t>
      </w:r>
    </w:p>
    <w:p w14:paraId="14DCDAC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t>2.</w:t>
      </w:r>
      <w:r w:rsidRPr="00326E64">
        <w:rPr>
          <w:rFonts w:ascii="Times New Roman" w:eastAsia="Calibri" w:hAnsi="Times New Roman" w:cs="Times New Roman"/>
        </w:rPr>
        <w:tab/>
        <w:t>Facility Characteristic</w:t>
      </w:r>
      <w:r w:rsidRPr="00326E64">
        <w:rPr>
          <w:rFonts w:ascii="Times New Roman" w:eastAsia="Calibri" w:hAnsi="Times New Roman" w:cs="Times New Roman"/>
          <w:u w:val="single"/>
        </w:rPr>
        <w:t>—Class B and Exceptional Quality Biosolids</w:t>
      </w:r>
    </w:p>
    <w:p w14:paraId="77C1898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 — b.</w:t>
      </w:r>
      <w:r w:rsidRPr="00326E64">
        <w:rPr>
          <w:rFonts w:ascii="Times New Roman" w:eastAsia="Calibri" w:hAnsi="Times New Roman" w:cs="Times New Roman"/>
        </w:rPr>
        <w:tab/>
      </w:r>
      <w:r w:rsidRPr="00326E64">
        <w:rPr>
          <w:rFonts w:ascii="Times New Roman" w:eastAsia="Calibri" w:hAnsi="Times New Roman" w:cs="Times New Roman"/>
        </w:rPr>
        <w:tab/>
        <w:t>…</w:t>
      </w:r>
    </w:p>
    <w:p w14:paraId="56C64208"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t>3.</w:t>
      </w:r>
      <w:r w:rsidRPr="00326E64">
        <w:rPr>
          <w:rFonts w:ascii="Times New Roman" w:eastAsia="Calibri" w:hAnsi="Times New Roman" w:cs="Times New Roman"/>
        </w:rPr>
        <w:tab/>
        <w:t>Facility Surface Hydrology</w:t>
      </w:r>
      <w:r w:rsidRPr="00326E64">
        <w:rPr>
          <w:rFonts w:ascii="Times New Roman" w:eastAsia="Calibri" w:hAnsi="Times New Roman" w:cs="Times New Roman"/>
          <w:u w:val="single"/>
        </w:rPr>
        <w:t>—Class B and Exceptional Quality Biosolids</w:t>
      </w:r>
    </w:p>
    <w:p w14:paraId="0EE01117" w14:textId="77777777" w:rsidR="00326E64" w:rsidRPr="00326E64" w:rsidRDefault="00326E64" w:rsidP="00326E64">
      <w:pPr>
        <w:tabs>
          <w:tab w:val="left" w:pos="720"/>
          <w:tab w:val="left" w:pos="1440"/>
          <w:tab w:val="left" w:pos="2160"/>
          <w:tab w:val="left" w:pos="3330"/>
        </w:tabs>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 — d.</w:t>
      </w:r>
      <w:r w:rsidRPr="00326E64">
        <w:rPr>
          <w:rFonts w:ascii="Times New Roman" w:eastAsia="Calibri" w:hAnsi="Times New Roman" w:cs="Times New Roman"/>
        </w:rPr>
        <w:tab/>
        <w:t>…</w:t>
      </w:r>
    </w:p>
    <w:p w14:paraId="44FC4D3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4.</w:t>
      </w:r>
      <w:r w:rsidRPr="00326E64">
        <w:rPr>
          <w:rFonts w:ascii="Times New Roman" w:eastAsia="Calibri" w:hAnsi="Times New Roman" w:cs="Times New Roman"/>
        </w:rPr>
        <w:tab/>
        <w:t>Facility Geology</w:t>
      </w:r>
      <w:r w:rsidRPr="00326E64">
        <w:rPr>
          <w:rFonts w:ascii="Times New Roman" w:eastAsia="Calibri" w:hAnsi="Times New Roman" w:cs="Times New Roman"/>
          <w:u w:val="single"/>
        </w:rPr>
        <w:t>—Class B and Exceptional Quality Biosolids</w:t>
      </w:r>
    </w:p>
    <w:p w14:paraId="1E2AF0C1" w14:textId="77777777" w:rsidR="00326E64" w:rsidRPr="00326E64" w:rsidRDefault="00326E64" w:rsidP="00326E64">
      <w:pPr>
        <w:tabs>
          <w:tab w:val="left" w:pos="720"/>
          <w:tab w:val="left" w:pos="1440"/>
          <w:tab w:val="left" w:pos="2160"/>
          <w:tab w:val="left" w:pos="3330"/>
        </w:tabs>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 — c.</w:t>
      </w:r>
      <w:r w:rsidRPr="00326E64">
        <w:rPr>
          <w:rFonts w:ascii="Times New Roman" w:eastAsia="Calibri" w:hAnsi="Times New Roman" w:cs="Times New Roman"/>
        </w:rPr>
        <w:tab/>
        <w:t>…</w:t>
      </w:r>
    </w:p>
    <w:p w14:paraId="7062D14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5.</w:t>
      </w:r>
      <w:r w:rsidRPr="00326E64">
        <w:rPr>
          <w:rFonts w:ascii="Times New Roman" w:eastAsia="Calibri" w:hAnsi="Times New Roman" w:cs="Times New Roman"/>
        </w:rPr>
        <w:tab/>
        <w:t>Facility Plans and Specifications</w:t>
      </w:r>
      <w:r w:rsidRPr="00326E64">
        <w:rPr>
          <w:rFonts w:ascii="Times New Roman" w:eastAsia="Calibri" w:hAnsi="Times New Roman" w:cs="Times New Roman"/>
          <w:u w:val="single"/>
        </w:rPr>
        <w:t>—Class B and Exceptional Quality Biosolids</w:t>
      </w:r>
      <w:r w:rsidRPr="00326E64">
        <w:rPr>
          <w:rFonts w:ascii="Times New Roman" w:eastAsia="Calibri" w:hAnsi="Times New Roman" w:cs="Times New Roman"/>
        </w:rPr>
        <w:t>. Facility plans and specifications represented and described in the permit applications or permit modifications for all facilities must be prepared under the supervision of, and certified by, a professional engineer, licensed in the state of Louisiana.</w:t>
      </w:r>
    </w:p>
    <w:p w14:paraId="1A04C28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6.</w:t>
      </w:r>
      <w:r w:rsidRPr="00326E64">
        <w:rPr>
          <w:rFonts w:ascii="Times New Roman" w:eastAsia="Calibri" w:hAnsi="Times New Roman" w:cs="Times New Roman"/>
        </w:rPr>
        <w:tab/>
        <w:t>Notification of Completion</w:t>
      </w:r>
      <w:r w:rsidRPr="00326E64">
        <w:rPr>
          <w:rFonts w:ascii="Times New Roman" w:eastAsia="Calibri" w:hAnsi="Times New Roman" w:cs="Times New Roman"/>
          <w:u w:val="single"/>
        </w:rPr>
        <w:t xml:space="preserve"> – Class B and Exceptional Quality Biosolids</w:t>
      </w:r>
      <w:r w:rsidRPr="00326E64">
        <w:rPr>
          <w:rFonts w:ascii="Times New Roman" w:eastAsia="Calibri" w:hAnsi="Times New Roman" w:cs="Times New Roman"/>
        </w:rPr>
        <w:t xml:space="preserve">. Within 10 days of completion of the facility or completion of a facility modification, the owner of the facility shall submit a notification of completion to the administrative authority. The notification of completion shall include a certification statement by a professional engineer, </w:t>
      </w:r>
      <w:r w:rsidRPr="00326E64">
        <w:rPr>
          <w:rFonts w:ascii="Times New Roman" w:eastAsia="Calibri" w:hAnsi="Times New Roman" w:cs="Times New Roman"/>
        </w:rPr>
        <w:lastRenderedPageBreak/>
        <w:t>licensed in the state of Louisiana, that the facility meets the plans and specifications as described in the Sewage Sludge and Biosolids Use or Disposal permit application.</w:t>
      </w:r>
    </w:p>
    <w:p w14:paraId="43A888F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7.</w:t>
      </w:r>
      <w:r w:rsidRPr="00326E64">
        <w:rPr>
          <w:rFonts w:ascii="Times New Roman" w:eastAsia="Calibri" w:hAnsi="Times New Roman" w:cs="Times New Roman"/>
        </w:rPr>
        <w:tab/>
        <w:t>Initial Start-Up Inspection</w:t>
      </w:r>
      <w:r w:rsidRPr="00326E64">
        <w:rPr>
          <w:rFonts w:ascii="Times New Roman" w:eastAsia="Calibri" w:hAnsi="Times New Roman" w:cs="Times New Roman"/>
          <w:u w:val="single"/>
        </w:rPr>
        <w:t xml:space="preserve"> – Class B and Exceptional Quality Biosolids</w:t>
      </w:r>
    </w:p>
    <w:p w14:paraId="339C5616" w14:textId="77777777" w:rsidR="00326E64" w:rsidRPr="00326E64" w:rsidRDefault="00326E64" w:rsidP="00326E64">
      <w:pPr>
        <w:tabs>
          <w:tab w:val="left" w:pos="720"/>
          <w:tab w:val="left" w:pos="1440"/>
          <w:tab w:val="left" w:pos="2160"/>
          <w:tab w:val="left" w:pos="3330"/>
        </w:tabs>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 — d.</w:t>
      </w:r>
      <w:r w:rsidRPr="00326E64">
        <w:rPr>
          <w:rFonts w:ascii="Times New Roman" w:eastAsia="Calibri" w:hAnsi="Times New Roman" w:cs="Times New Roman"/>
        </w:rPr>
        <w:tab/>
        <w:t>…</w:t>
      </w:r>
    </w:p>
    <w:p w14:paraId="0F9F4D5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t>C.</w:t>
      </w:r>
      <w:r w:rsidRPr="00326E64">
        <w:rPr>
          <w:rFonts w:ascii="Times New Roman" w:eastAsia="Calibri" w:hAnsi="Times New Roman" w:cs="Times New Roman"/>
        </w:rPr>
        <w:tab/>
        <w:t>Operations</w:t>
      </w:r>
      <w:r w:rsidRPr="00326E64">
        <w:rPr>
          <w:rFonts w:ascii="Times New Roman" w:eastAsia="Calibri" w:hAnsi="Times New Roman" w:cs="Times New Roman"/>
          <w:u w:val="single"/>
        </w:rPr>
        <w:t xml:space="preserve"> – Class B and Exceptional Quality Biosolids</w:t>
      </w:r>
    </w:p>
    <w:p w14:paraId="6D675AD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1. — 2.e.</w:t>
      </w:r>
      <w:r w:rsidRPr="00326E64">
        <w:rPr>
          <w:rFonts w:ascii="Times New Roman" w:eastAsia="Calibri" w:hAnsi="Times New Roman" w:cs="Times New Roman"/>
        </w:rPr>
        <w:tab/>
        <w:t>…</w:t>
      </w:r>
    </w:p>
    <w:p w14:paraId="311518EA"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f.</w:t>
      </w:r>
      <w:r w:rsidRPr="00326E64">
        <w:rPr>
          <w:rFonts w:ascii="Times New Roman" w:eastAsia="Calibri" w:hAnsi="Times New Roman" w:cs="Times New Roman"/>
        </w:rPr>
        <w:tab/>
        <w:t>The final composted product shall be stable and mature. In addition to meeting the applicable time and temperature for pathogen and vector attraction reduction requirements, proof of the stability and maturity of the final composted product shall be provided by utilizing the applicable methods in the source referenced in LAC 33:IX.7301.</w:t>
      </w:r>
      <w:r w:rsidRPr="00326E64">
        <w:rPr>
          <w:rFonts w:ascii="Times New Roman" w:eastAsia="Calibri" w:hAnsi="Times New Roman" w:cs="Times New Roman"/>
          <w:strike/>
        </w:rPr>
        <w:t>I</w:t>
      </w:r>
      <w:r w:rsidRPr="00326E64">
        <w:rPr>
          <w:rFonts w:ascii="Times New Roman" w:eastAsia="Calibri" w:hAnsi="Times New Roman" w:cs="Times New Roman"/>
          <w:u w:val="single"/>
        </w:rPr>
        <w:t>K</w:t>
      </w:r>
      <w:r w:rsidRPr="00326E64">
        <w:rPr>
          <w:rFonts w:ascii="Times New Roman" w:eastAsia="Calibri" w:hAnsi="Times New Roman" w:cs="Times New Roman"/>
        </w:rPr>
        <w:t>.2.</w:t>
      </w:r>
      <w:r w:rsidRPr="00326E64">
        <w:rPr>
          <w:rFonts w:ascii="Times New Roman" w:eastAsia="Calibri" w:hAnsi="Times New Roman" w:cs="Times New Roman"/>
          <w:strike/>
        </w:rPr>
        <w:t>j</w:t>
      </w:r>
      <w:r w:rsidRPr="00326E64">
        <w:rPr>
          <w:rFonts w:ascii="Times New Roman" w:eastAsia="Calibri" w:hAnsi="Times New Roman" w:cs="Times New Roman"/>
          <w:u w:val="single"/>
        </w:rPr>
        <w:t>a.x</w:t>
      </w:r>
      <w:r w:rsidRPr="00326E64">
        <w:rPr>
          <w:rFonts w:ascii="Times New Roman" w:eastAsia="Calibri" w:hAnsi="Times New Roman" w:cs="Times New Roman"/>
        </w:rPr>
        <w:t>.</w:t>
      </w:r>
    </w:p>
    <w:p w14:paraId="11699A0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3.</w:t>
      </w:r>
      <w:r w:rsidRPr="00326E64">
        <w:rPr>
          <w:rFonts w:ascii="Times New Roman" w:eastAsia="Calibri" w:hAnsi="Times New Roman" w:cs="Times New Roman"/>
        </w:rPr>
        <w:tab/>
        <w:t>Facility Closure Requirements</w:t>
      </w:r>
    </w:p>
    <w:p w14:paraId="1B45FFC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Notification of Intent to Close a Facility</w:t>
      </w:r>
      <w:r w:rsidRPr="00326E64">
        <w:rPr>
          <w:rFonts w:ascii="Times New Roman" w:eastAsia="Calibri" w:hAnsi="Times New Roman" w:cs="Times New Roman"/>
          <w:strike/>
        </w:rPr>
        <w:t>.</w:t>
      </w:r>
    </w:p>
    <w:p w14:paraId="6771CF2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rPr>
        <w:tab/>
        <w:t>All permit holders shall notify the administrative authority in writing at least 90 days before closure or intent to close, seal, or abandon any individual units within a facility and shall provide the following information:</w:t>
      </w:r>
    </w:p>
    <w:p w14:paraId="1424F9EA"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strike/>
        </w:rPr>
        <w:t>i</w:t>
      </w:r>
      <w:r w:rsidRPr="00326E64">
        <w:rPr>
          <w:rFonts w:ascii="Times New Roman" w:eastAsia="Calibri" w:hAnsi="Times New Roman" w:cs="Times New Roman"/>
        </w:rPr>
        <w:t>.</w:t>
      </w:r>
      <w:r w:rsidRPr="00326E64">
        <w:rPr>
          <w:rFonts w:ascii="Times New Roman" w:eastAsia="Calibri" w:hAnsi="Times New Roman" w:cs="Times New Roman"/>
        </w:rPr>
        <w:tab/>
        <w:t>the date of planned closure;</w:t>
      </w:r>
    </w:p>
    <w:p w14:paraId="69944B5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strike/>
        </w:rPr>
        <w:t>ii</w:t>
      </w:r>
      <w:r w:rsidRPr="00326E64">
        <w:rPr>
          <w:rFonts w:ascii="Times New Roman" w:eastAsia="Calibri" w:hAnsi="Times New Roman" w:cs="Times New Roman"/>
        </w:rPr>
        <w:t>.</w:t>
      </w:r>
      <w:r w:rsidRPr="00326E64">
        <w:rPr>
          <w:rFonts w:ascii="Times New Roman" w:eastAsia="Calibri" w:hAnsi="Times New Roman" w:cs="Times New Roman"/>
        </w:rPr>
        <w:tab/>
        <w:t>changes, if any, requested in the approved closure plan; and</w:t>
      </w:r>
    </w:p>
    <w:p w14:paraId="791A3CF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strike/>
        </w:rPr>
        <w:t>iii</w:t>
      </w:r>
      <w:r w:rsidRPr="00326E64">
        <w:rPr>
          <w:rFonts w:ascii="Times New Roman" w:eastAsia="Calibri" w:hAnsi="Times New Roman" w:cs="Times New Roman"/>
        </w:rPr>
        <w:t>.</w:t>
      </w:r>
      <w:r w:rsidRPr="00326E64">
        <w:rPr>
          <w:rFonts w:ascii="Times New Roman" w:eastAsia="Calibri" w:hAnsi="Times New Roman" w:cs="Times New Roman"/>
        </w:rPr>
        <w:tab/>
        <w:t>the closure schedule</w:t>
      </w:r>
      <w:r w:rsidRPr="00326E64">
        <w:rPr>
          <w:rFonts w:ascii="Times New Roman" w:eastAsia="Calibri" w:hAnsi="Times New Roman" w:cs="Times New Roman"/>
          <w:strike/>
        </w:rPr>
        <w:t xml:space="preserve"> and estimated cost</w:t>
      </w:r>
      <w:r w:rsidRPr="00326E64">
        <w:rPr>
          <w:rFonts w:ascii="Times New Roman" w:eastAsia="Calibri" w:hAnsi="Times New Roman" w:cs="Times New Roman"/>
        </w:rPr>
        <w:t>.</w:t>
      </w:r>
    </w:p>
    <w:p w14:paraId="7EA0AD3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 — b.iii.</w:t>
      </w:r>
      <w:r w:rsidRPr="00326E64">
        <w:rPr>
          <w:rFonts w:ascii="Times New Roman" w:eastAsia="Calibri" w:hAnsi="Times New Roman" w:cs="Times New Roman"/>
        </w:rPr>
        <w:tab/>
        <w:t>…</w:t>
      </w:r>
    </w:p>
    <w:p w14:paraId="7521CB5A"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c.</w:t>
      </w:r>
      <w:r w:rsidRPr="00326E64">
        <w:rPr>
          <w:rFonts w:ascii="Times New Roman" w:eastAsia="Calibri" w:hAnsi="Times New Roman" w:cs="Times New Roman"/>
        </w:rPr>
        <w:tab/>
        <w:t>Additional Closure Requirements</w:t>
      </w:r>
      <w:r w:rsidRPr="00326E64">
        <w:rPr>
          <w:rFonts w:ascii="Times New Roman" w:eastAsia="Calibri" w:hAnsi="Times New Roman" w:cs="Times New Roman"/>
          <w:strike/>
        </w:rPr>
        <w:t>.</w:t>
      </w:r>
    </w:p>
    <w:p w14:paraId="2C833AB3"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i.</w:t>
      </w:r>
      <w:r w:rsidRPr="00326E64">
        <w:rPr>
          <w:rFonts w:ascii="Times New Roman" w:eastAsia="Calibri" w:hAnsi="Times New Roman" w:cs="Times New Roman"/>
        </w:rPr>
        <w:tab/>
        <w:t>Additional closure requirements for commercial preparers of sewage sludge who utilize composting as the process to prepare the sewage sludge and for all other commercial preparers of sewage sludge who prepare an amount of sewage sludge equal to or greater than 15,000 metric tons per year are as follows.</w:t>
      </w:r>
    </w:p>
    <w:p w14:paraId="416FBA5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strike/>
        </w:rPr>
        <w:t>i</w:t>
      </w:r>
      <w:r w:rsidRPr="00326E64">
        <w:rPr>
          <w:rFonts w:ascii="Times New Roman" w:eastAsia="Calibri" w:hAnsi="Times New Roman" w:cs="Times New Roman"/>
        </w:rPr>
        <w:t>.</w:t>
      </w:r>
      <w:r w:rsidRPr="00326E64">
        <w:rPr>
          <w:rFonts w:ascii="Times New Roman" w:eastAsia="Calibri" w:hAnsi="Times New Roman" w:cs="Times New Roman"/>
        </w:rPr>
        <w:tab/>
        <w:t>The permit holder shall verify that the soils within the facility boundary have not been contaminated in the operation of the facility.</w:t>
      </w:r>
    </w:p>
    <w:p w14:paraId="764DA41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strike/>
        </w:rPr>
        <w:t>ii</w:t>
      </w:r>
      <w:r w:rsidRPr="00326E64">
        <w:rPr>
          <w:rFonts w:ascii="Times New Roman" w:eastAsia="Calibri" w:hAnsi="Times New Roman" w:cs="Times New Roman"/>
        </w:rPr>
        <w:t>.</w:t>
      </w:r>
      <w:r w:rsidRPr="00326E64">
        <w:rPr>
          <w:rFonts w:ascii="Times New Roman" w:eastAsia="Calibri" w:hAnsi="Times New Roman" w:cs="Times New Roman"/>
        </w:rPr>
        <w:tab/>
        <w:t>If contamination exists, in order to satisfy the closure requirements of this Section the permit holder must utilize the Risk Evaluation/Corrective Action Program (RECAP) standards in accordance with LAC 33:I.Chapter 13 to the fullest extent possible. Any residual contamination must meet the RECAP standards approved by the administrative authority, including any residual contamination in the underlying and surrounding soils and/or groundwater. Otherwise, the permit holder shall enter into a cooperative agreement with the administrative authority to perform corrective action (i.e., additional closure activities including site investigation, remedial investigation, a corrective action study, and/or remedial action).</w:t>
      </w:r>
    </w:p>
    <w:p w14:paraId="1B9C7DB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d.</w:t>
      </w:r>
      <w:r w:rsidRPr="00326E64">
        <w:rPr>
          <w:rFonts w:ascii="Times New Roman" w:eastAsia="Calibri" w:hAnsi="Times New Roman" w:cs="Times New Roman"/>
        </w:rPr>
        <w:tab/>
        <w:t xml:space="preserve">Closure Inspection. After the closure requirements have been met, the permit holder shall file a request for a closure inspection with the </w:t>
      </w:r>
      <w:r w:rsidRPr="00326E64">
        <w:rPr>
          <w:rFonts w:ascii="Times New Roman" w:eastAsia="Calibri" w:hAnsi="Times New Roman" w:cs="Times New Roman"/>
          <w:u w:val="single"/>
        </w:rPr>
        <w:t>administrative authority</w:t>
      </w:r>
      <w:r w:rsidRPr="00326E64">
        <w:rPr>
          <w:rFonts w:ascii="Times New Roman" w:eastAsia="Calibri" w:hAnsi="Times New Roman" w:cs="Times New Roman"/>
          <w:strike/>
        </w:rPr>
        <w:t>Office of Environmental Services</w:t>
      </w:r>
      <w:r w:rsidRPr="00326E64">
        <w:rPr>
          <w:rFonts w:ascii="Times New Roman" w:eastAsia="Calibri" w:hAnsi="Times New Roman" w:cs="Times New Roman"/>
        </w:rPr>
        <w:t>.</w:t>
      </w:r>
    </w:p>
    <w:p w14:paraId="5D9099D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Release of Closure Funds. After the closure inspection and subsequent determination by the administrative authority that a facility has completed closure, the administrative authority shall release the closure fund to the permit holder.</w:t>
      </w:r>
    </w:p>
    <w:p w14:paraId="0F6AD9AD"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AUTHORITY NOTE:</w:t>
      </w:r>
      <w:r w:rsidRPr="00326E64">
        <w:rPr>
          <w:rFonts w:ascii="Times New Roman" w:eastAsia="Calibri" w:hAnsi="Times New Roman" w:cs="Times New Roman"/>
        </w:rPr>
        <w:tab/>
        <w:t>Promulgated in accordance with R.S. 30:2074(B)(1)(c) and (B)(3)(e).</w:t>
      </w:r>
    </w:p>
    <w:p w14:paraId="112D6C09"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HISTORICAL NOTE:</w:t>
      </w:r>
      <w:r w:rsidRPr="00326E64">
        <w:rPr>
          <w:rFonts w:ascii="Times New Roman" w:eastAsia="Calibri" w:hAnsi="Times New Roman" w:cs="Times New Roman"/>
        </w:rPr>
        <w:tab/>
        <w:t xml:space="preserve">Promulgated by the Department of Environmental Quality, Office of Environmental Assessment, Environmental Planning Division, LR 28:794 (April 2002), </w:t>
      </w:r>
      <w:r w:rsidRPr="00326E64">
        <w:rPr>
          <w:rFonts w:ascii="Times New Roman" w:eastAsia="Calibri" w:hAnsi="Times New Roman" w:cs="Times New Roman"/>
        </w:rPr>
        <w:lastRenderedPageBreak/>
        <w:t>repromulgated LR 30:233 (February 2004), amended by the Office of the Secretary, Legal Affairs Division, LR 31:2516 (October 2005), LR 33:2382 (November 2007), LR 35:930 (May 2009), LR 37:2995 (October 2011)</w:t>
      </w:r>
      <w:r w:rsidRPr="00326E64">
        <w:rPr>
          <w:rFonts w:ascii="Times New Roman" w:eastAsia="Calibri" w:hAnsi="Times New Roman" w:cs="Times New Roman"/>
          <w:strike/>
        </w:rPr>
        <w:t>,</w:t>
      </w:r>
      <w:r w:rsidRPr="00326E64">
        <w:rPr>
          <w:rFonts w:ascii="Times New Roman" w:eastAsia="Calibri" w:hAnsi="Times New Roman" w:cs="Times New Roman"/>
        </w:rPr>
        <w:t xml:space="preserve"> amended by the Office of the Secretary, Legal Affairs Division, LR 51:</w:t>
      </w:r>
    </w:p>
    <w:p w14:paraId="169652DD" w14:textId="77777777" w:rsidR="00326E64" w:rsidRPr="00326E64" w:rsidRDefault="00326E64" w:rsidP="00326E64">
      <w:pPr>
        <w:tabs>
          <w:tab w:val="left" w:pos="288"/>
        </w:tabs>
        <w:rPr>
          <w:rFonts w:ascii="Times New Roman" w:eastAsia="Calibri" w:hAnsi="Times New Roman" w:cs="Times New Roman"/>
        </w:rPr>
      </w:pPr>
    </w:p>
    <w:p w14:paraId="1FF5A79A" w14:textId="77777777" w:rsidR="00326E64" w:rsidRPr="00326E64" w:rsidRDefault="00326E64" w:rsidP="00326E64">
      <w:pPr>
        <w:spacing w:line="480" w:lineRule="auto"/>
        <w:rPr>
          <w:rFonts w:ascii="Times New Roman" w:eastAsia="Calibri" w:hAnsi="Times New Roman" w:cs="Times New Roman"/>
          <w:b/>
          <w:u w:val="single"/>
        </w:rPr>
      </w:pPr>
      <w:bookmarkStart w:id="15" w:name="_Toc483475160"/>
      <w:bookmarkStart w:id="16" w:name="TOC_Sect588"/>
      <w:bookmarkEnd w:id="13"/>
      <w:bookmarkEnd w:id="14"/>
      <w:r w:rsidRPr="00326E64">
        <w:rPr>
          <w:rFonts w:ascii="Times New Roman" w:eastAsia="Calibri" w:hAnsi="Times New Roman" w:cs="Times New Roman"/>
          <w:b/>
        </w:rPr>
        <w:t>§7307.</w:t>
      </w:r>
      <w:r w:rsidRPr="00326E64">
        <w:rPr>
          <w:rFonts w:ascii="Times New Roman" w:eastAsia="Calibri" w:hAnsi="Times New Roman" w:cs="Times New Roman"/>
          <w:b/>
        </w:rPr>
        <w:tab/>
      </w:r>
      <w:r w:rsidRPr="00326E64">
        <w:rPr>
          <w:rFonts w:ascii="Times New Roman" w:eastAsia="Calibri" w:hAnsi="Times New Roman" w:cs="Times New Roman"/>
          <w:b/>
          <w:strike/>
        </w:rPr>
        <w:t>Financial Assurance Requirements for Commercial Preparers of Sewage Sludge and Commercial Land Appliers of Biosolids [Formerly §6907]</w:t>
      </w:r>
      <w:r w:rsidRPr="00326E64">
        <w:rPr>
          <w:rFonts w:ascii="Times New Roman" w:eastAsia="Calibri" w:hAnsi="Times New Roman" w:cs="Times New Roman"/>
          <w:b/>
          <w:u w:val="single"/>
        </w:rPr>
        <w:t>Repealed.</w:t>
      </w:r>
    </w:p>
    <w:p w14:paraId="2E2B851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Purpose and Applicability. The purpose of this Section is to establish the financial assurance (the word security may be used interchangeably with assurance) requirements for:</w:t>
      </w:r>
    </w:p>
    <w:p w14:paraId="569D2AB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commercial preparers of sewage sludge for meeting the requirements applicable during operation and closure; and</w:t>
      </w:r>
    </w:p>
    <w:p w14:paraId="667C1E7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commercial land appliers of biosolids during operation and closure.</w:t>
      </w:r>
    </w:p>
    <w:p w14:paraId="42A8DA3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This Section shall be applicable to the entities listed in Subsection A of this Section when the following actions are taken by the department:</w:t>
      </w:r>
    </w:p>
    <w:p w14:paraId="62C7A7B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issuance of a new permit;</w:t>
      </w:r>
    </w:p>
    <w:p w14:paraId="207B46B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renewal of an existing permit;</w:t>
      </w:r>
    </w:p>
    <w:p w14:paraId="3453DB4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3.</w:t>
      </w:r>
      <w:r w:rsidRPr="00326E64">
        <w:rPr>
          <w:rFonts w:ascii="Times New Roman" w:eastAsia="Calibri" w:hAnsi="Times New Roman" w:cs="Times New Roman"/>
          <w:strike/>
        </w:rPr>
        <w:tab/>
        <w:t>modification of an existing permit; and</w:t>
      </w:r>
    </w:p>
    <w:p w14:paraId="100F161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4.</w:t>
      </w:r>
      <w:r w:rsidRPr="00326E64">
        <w:rPr>
          <w:rFonts w:ascii="Times New Roman" w:eastAsia="Calibri" w:hAnsi="Times New Roman" w:cs="Times New Roman"/>
          <w:strike/>
        </w:rPr>
        <w:tab/>
        <w:t>transfer of an existing permit to a different permittee.</w:t>
      </w:r>
    </w:p>
    <w:p w14:paraId="2DD05E0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Financial assurance mechanisms and instruments shall be submitted as follows.</w:t>
      </w:r>
    </w:p>
    <w:p w14:paraId="2DB335C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The permit holder must submit to the administrative authority for approval a financial assurance mechanism drafted in accordance with this Section to cover the cost estimate for the closure requirements in LAC 33:IX.7305.C.3. The financial assurance mechanism shall be submitted with the application under separate cover and be approved by the administrative authority as part of the permit issuance process. The financial assurance mechanism must be approved by the administrative authority prior to the permit holder's operating the facility.</w:t>
      </w:r>
    </w:p>
    <w:p w14:paraId="4F234FA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All instruments used in this Section shall be submitted in the following manner.</w:t>
      </w:r>
    </w:p>
    <w:p w14:paraId="18B3F8F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instrument shall be addressed to the Office of Environmental Services.</w:t>
      </w:r>
    </w:p>
    <w:p w14:paraId="4B62C4C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original instrument shall be submitted.</w:t>
      </w:r>
    </w:p>
    <w:p w14:paraId="272467E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The instrument shall be accompanied with a cover letter identifying the facility, agency interest number, and any other identifying information deemed necessary by the administrative authority.</w:t>
      </w:r>
    </w:p>
    <w:p w14:paraId="3AB2DFB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Commercial preparers of sewage sludge and commercial land appliers of biosolids, hereinafter referred to in this Section as affected persons, have the following liability insurance responsibilities while their facilities are in operation.</w:t>
      </w:r>
    </w:p>
    <w:p w14:paraId="7B3C237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All affected persons shall maintain liability insurance, or its equivalent, for sudden and accidental occurrences in the amount of $1 million per occurrence and $1 million annual aggregate, per site, exclusive of legal defense costs, for claims arising from injury to persons or property, owing to the operation of the site. Commercial preparers of sewage sludge and commercial land appliers of biosolids are exempt from these requirements if the amount of sewage sludge prepared or the amount of biosolids applied to the land is less than 15,000 metric tons per year. Evidence of this coverage shall be updated annually and provided to the Office of Environmental Services. This financial assurance may be established by anyone or a combination of the following mechanisms.</w:t>
      </w:r>
    </w:p>
    <w:p w14:paraId="4D28DBA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 xml:space="preserve">Insurance. Evidence of liability insurance may consist of either a signed duplicate original of a liability endorsement in favor of the affected person, or a certificate of insurance. The wording of a liability endorsement shall be identical to the wording in LAC </w:t>
      </w:r>
      <w:r w:rsidRPr="00326E64">
        <w:rPr>
          <w:rFonts w:ascii="Times New Roman" w:eastAsia="Calibri" w:hAnsi="Times New Roman" w:cs="Times New Roman"/>
          <w:strike/>
        </w:rPr>
        <w:lastRenderedPageBreak/>
        <w:t>33:IX.7395.Appendix A, except that the instructions in brackets are to be replaced with the relevant information, and the brackets deleted. The wording of a certificate of insurance shall be identical to the wording in LAC 33:IX.7395.Appendix B, except that the instructions in brackets are to be replaced with the relevant information, and the brackets deleted. All liability endorsements and certificates of insurance must include:</w:t>
      </w:r>
    </w:p>
    <w:p w14:paraId="3380611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a statement of coverage relative to environmental risks;</w:t>
      </w:r>
    </w:p>
    <w:p w14:paraId="5F18FEF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a statement of all exclusions to the policy; and</w:t>
      </w:r>
    </w:p>
    <w:p w14:paraId="5CF9A37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a certification by the insurer that the insurance afforded with respect to such sudden accidental occurrences is subject to all of the terms and conditions of the policy, provided, however, that any provisions of the policy inconsistent with Subclauses D.1.a.iii.(a)-(f) of this Section are amended to conform with said Subclauses:</w:t>
      </w:r>
    </w:p>
    <w:p w14:paraId="700006D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bankruptcy or insolvency of the insured shall not relieve the insurer of its obligations under the policy;</w:t>
      </w:r>
    </w:p>
    <w:p w14:paraId="4C13F37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insurer is liable for the payment of amounts within any deductible applicable to the policy, with a right of reimbursement by the insured for any such payment made by the insurer. This provision does not apply with respect to that amount of any deductible for which coverage is demonstrated as specified in Subparagraphs D.1.b-d of this Section;</w:t>
      </w:r>
    </w:p>
    <w:p w14:paraId="347042C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whenever requested by the administrative authority, the insurer agrees to furnish to the administrative authority a signed duplicate original of the policy and all endorsements;</w:t>
      </w:r>
    </w:p>
    <w:p w14:paraId="51BF5DC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cancellation of the policy, whether by the insurer or the insured, will be effective only upon written notice and upon lapse of 60 days after a copy of such written notice is received by the Office of Environmental Services;</w:t>
      </w:r>
    </w:p>
    <w:p w14:paraId="357D9B0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any other termination of the policy will be effective only upon written notice and upon lapse of 30 days after a copy of such written notice is received by the Office of Environmental Services; and</w:t>
      </w:r>
    </w:p>
    <w:p w14:paraId="2EB1E99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(f).</w:t>
      </w:r>
      <w:r w:rsidRPr="00326E64">
        <w:rPr>
          <w:rFonts w:ascii="Times New Roman" w:eastAsia="Calibri" w:hAnsi="Times New Roman" w:cs="Times New Roman"/>
          <w:strike/>
        </w:rPr>
        <w:tab/>
        <w:t>the insurer is admitted, authorized, or eligible to conduct insurance business in the state of Louisiana.</w:t>
      </w:r>
    </w:p>
    <w:p w14:paraId="7A5AEB3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Letter of Credit. An affected person may satisfy the requirements of this Subsection by obtaining an irrevocable letter of credit that conforms to all of the following requirements and submitting the letter to the administrative authority.</w:t>
      </w:r>
    </w:p>
    <w:p w14:paraId="0CFF9BD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issuing institution must be an entity that has the authority to issue letters of credit and whose letter-of-credit operations are regulated and examined by a federal or state agency.</w:t>
      </w:r>
    </w:p>
    <w:p w14:paraId="450B4E5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An affected person who uses a letter of credit to satisfy the requirements of this Subsection must also provide to the administrative authority evidence of the establishment of a standby trust fund. Under the terms of the letter of credit, all amounts paid pursuant to a draft by the administrative authority will be deposited by the issuing institution directly into the standby trust fund. The wording of the standby trust fund agreement shall be identical to the wording in LAC 33:IX.7395.Appendix D, except that the instructions in brackets are to be replaced with the relevant information, and the brackets deleted. The trust agreement shall be accompanied by a formal certification of acknowledgement, as in the example in LAC 33:IX.7395.Appendix D.</w:t>
      </w:r>
    </w:p>
    <w:p w14:paraId="5DC85BE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The letter of credit must be accompanied by a letter from the affected person referring to the letter of credit by number, name of issuing institution, and date, and providing the following information:</w:t>
      </w:r>
    </w:p>
    <w:p w14:paraId="6A79BA8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agency interest number;</w:t>
      </w:r>
    </w:p>
    <w:p w14:paraId="5AF4B2B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site name, if applicable;</w:t>
      </w:r>
    </w:p>
    <w:p w14:paraId="7878033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the facility name;</w:t>
      </w:r>
    </w:p>
    <w:p w14:paraId="2F2164A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the facility permit number; and</w:t>
      </w:r>
    </w:p>
    <w:p w14:paraId="2F1F095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the amount of funds assured for liability coverage of the facility by the letter of credit.</w:t>
      </w:r>
    </w:p>
    <w:p w14:paraId="54B67B6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The letter of credit must be irrevocable and issued for a period of at least one year unless, at least 120 days before the current expiration date, the issuing institution notifies both the affected person and the administrative authority by certified mail of a decision not to extend the expiration date. Under the terms of the letter of credit, the 120 days will begin on the date when both the affected person and the Office of Environmental Services receive the notice, as evidenced by the return receipts.</w:t>
      </w:r>
    </w:p>
    <w:p w14:paraId="77A87FE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w:t>
      </w:r>
      <w:r w:rsidRPr="00326E64">
        <w:rPr>
          <w:rFonts w:ascii="Times New Roman" w:eastAsia="Calibri" w:hAnsi="Times New Roman" w:cs="Times New Roman"/>
          <w:strike/>
        </w:rPr>
        <w:tab/>
        <w:t>The wording of the letter of credit shall be identical to the wording in LAC 33:IX.7395.Appendix C, except that the instructions in brackets are to be replaced with the relevant information (i.e., type of affected person), and the brackets deleted.</w:t>
      </w:r>
    </w:p>
    <w:p w14:paraId="16405D5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Financial Test</w:t>
      </w:r>
    </w:p>
    <w:p w14:paraId="3E49E64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 xml:space="preserve">To meet this test, the affected person or parent corporation (corporate guarantor) of the affected person must submit to the Office of Environmental Services the documents required by Subparagraph E.2.h of this Section demonstrating that the requirements of Subparagraph E.2.h of this Section have been met. Use of the financial test may </w:t>
      </w:r>
      <w:r w:rsidRPr="00326E64">
        <w:rPr>
          <w:rFonts w:ascii="Times New Roman" w:eastAsia="Calibri" w:hAnsi="Times New Roman" w:cs="Times New Roman"/>
          <w:strike/>
        </w:rPr>
        <w:lastRenderedPageBreak/>
        <w:t>be disallowed on the basis of the accessibility of the assets of the affected person or parent corporation (corporate guarantor). If the affected person or parent corporation is using the financial test to demonstrate liability coverage and closure, only one letter from the chief financial officer is required.</w:t>
      </w:r>
    </w:p>
    <w:p w14:paraId="34147F3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The assets of the parent corporation of the affected person shall not be used to determine whether the affected person satisfies the financial test, unless the parent corporation has supplied a corporate guarantee as authorized in Subparagraph D.1.d of this Section.</w:t>
      </w:r>
    </w:p>
    <w:p w14:paraId="11626FF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The wording of the financial test shall be as specified in Clause E.2.h.iv of this Section.</w:t>
      </w:r>
    </w:p>
    <w:p w14:paraId="086E865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Corporate Guarantee</w:t>
      </w:r>
    </w:p>
    <w:p w14:paraId="13256EA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An affected person may meet the requirements of Paragraph D.1 of this Section for liability coverage by obtaining a written guarantee, hereafter referred to as a corporate guarantee. The guarantor must demonstrate to the administrative authority that the guarantor meets the requirements in this Subsection and must comply with the terms of the corporate guarantee. The corporate guarantee must accompany the items sent to the administrative authority specified in Clauses E.2.h.ii and iv of this Section. The terms of the corporate guarantee must be in an authentic act signed and sworn to by an authorized officer of the corporation before a notary public and must provide that:</w:t>
      </w:r>
    </w:p>
    <w:p w14:paraId="1E12165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guarantor meets or exceeds the financial test criteria and agrees to comply with the reporting requirements for guarantors as specified in Subparagraph E.2.h of this Section;</w:t>
      </w:r>
    </w:p>
    <w:p w14:paraId="36EEF69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guarantor is the parent corporation of the affected person to be covered by the guarantee, and the guarantee extends to certain facilities;</w:t>
      </w:r>
    </w:p>
    <w:p w14:paraId="0877F96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if the affected person fails to satisfy a judgment based on a determination of liability for bodily injury or property damage to third parties caused by sudden and accidental occurrences (or both as the case may be), arising from the operation of facilities covered by the corporate guarantee, or fails to pay an amount agreed to in settlement of the claims arising from or alleged to arise from such injury or damage, the guarantor will do so up to the limits of coverage;</w:t>
      </w:r>
    </w:p>
    <w:p w14:paraId="7DA7640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the guarantor agrees that if, at the end of any fiscal year before termination of the guarantee, the guarantor fails to meet the financial test criteria, the guarantor shall send within 90 days, by certified mail, notice to the Office of Environmental Services and to the affected person, that he intends to provide alternative financial assurance as specified in this Subsection, in the name of the affected person, and that within 120 days after the end of said fiscal year the guarantor shall establish such financial assurance, unless the affected person has done so;</w:t>
      </w:r>
    </w:p>
    <w:p w14:paraId="19B5D75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the guarantor agrees to notify the Office of Environmental Services by certified mail of a voluntary or involuntary proceeding under Title 11 (Bankruptcy), U.S. Code, naming the guarantor as debtor, within 10 days after commencement of the proceeding;</w:t>
      </w:r>
    </w:p>
    <w:p w14:paraId="7013A47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(f).</w:t>
      </w:r>
      <w:r w:rsidRPr="00326E64">
        <w:rPr>
          <w:rFonts w:ascii="Times New Roman" w:eastAsia="Calibri" w:hAnsi="Times New Roman" w:cs="Times New Roman"/>
          <w:strike/>
        </w:rPr>
        <w:tab/>
        <w:t xml:space="preserve">the guarantor agrees that within 30 days after being notified by the administrative authority of a determination that the guarantor no longer meets the financial test criteria or that he or she is disallowed from continuing as a guarantor of closure, he </w:t>
      </w:r>
      <w:r w:rsidRPr="00326E64">
        <w:rPr>
          <w:rFonts w:ascii="Times New Roman" w:eastAsia="Calibri" w:hAnsi="Times New Roman" w:cs="Times New Roman"/>
          <w:strike/>
        </w:rPr>
        <w:lastRenderedPageBreak/>
        <w:t>or she shall establish alternate financial assurance as specified in this Subsection in the name of the affected person unless the affected person has done so;</w:t>
      </w:r>
    </w:p>
    <w:p w14:paraId="3C9A0E8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(g).</w:t>
      </w:r>
      <w:r w:rsidRPr="00326E64">
        <w:rPr>
          <w:rFonts w:ascii="Times New Roman" w:eastAsia="Calibri" w:hAnsi="Times New Roman" w:cs="Times New Roman"/>
          <w:strike/>
        </w:rPr>
        <w:tab/>
        <w:t>the guarantor agrees to remain bound under the guarantee notwithstanding any or all of the following: amendment or modification of the permit, or any other modification or alteration of an obligation of the affected person in accordance with these regulations;</w:t>
      </w:r>
    </w:p>
    <w:p w14:paraId="7D2B1C3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(h).</w:t>
      </w:r>
      <w:r w:rsidRPr="00326E64">
        <w:rPr>
          <w:rFonts w:ascii="Times New Roman" w:eastAsia="Calibri" w:hAnsi="Times New Roman" w:cs="Times New Roman"/>
          <w:strike/>
        </w:rPr>
        <w:tab/>
        <w:t>the guarantor agrees to remain bound under the guarantee for as long as the affected person must comply with the applicable financial assurance requirements of Paragraph E.2 of this Section for the facilities covered by the guarantee, except that the guarantor may cancel this guarantee by sending notice by certified mail to the administrative authority and the affected person. Such a cancellation will become effective no earlier than 90 days after receipt of such notice by both the administrative authority and the affected person, as evidenced by the return receipts;</w:t>
      </w:r>
    </w:p>
    <w:p w14:paraId="79E744E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guarantor agrees that if the affected person fails to provide alternate financial assurance, as specified in this Subsection, and obtain written approval of such assurance from the administrative authority within 60 days after the administrative authority receives the guarantor's notice of cancellation, the guarantor shall provide such alternate financial assurance in the name of the affected person;</w:t>
      </w:r>
    </w:p>
    <w:p w14:paraId="384B056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(j).</w:t>
      </w:r>
      <w:r w:rsidRPr="00326E64">
        <w:rPr>
          <w:rFonts w:ascii="Times New Roman" w:eastAsia="Calibri" w:hAnsi="Times New Roman" w:cs="Times New Roman"/>
          <w:strike/>
        </w:rPr>
        <w:tab/>
        <w:t>the guarantor expressly waives notice of acceptance of the guarantee by the administrative authority or by the affected person. The guarantor also expressly waives notice of amendments or modifications of the facility permit; and</w:t>
      </w:r>
    </w:p>
    <w:p w14:paraId="311AC57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(k).</w:t>
      </w:r>
      <w:r w:rsidRPr="00326E64">
        <w:rPr>
          <w:rFonts w:ascii="Times New Roman" w:eastAsia="Calibri" w:hAnsi="Times New Roman" w:cs="Times New Roman"/>
          <w:strike/>
        </w:rPr>
        <w:tab/>
        <w:t>the wording of the corporate guarantee shall be as specified in Clause E.2.h.ix of this Section.</w:t>
      </w:r>
    </w:p>
    <w:p w14:paraId="6B153A0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A corporate guarantee may be used to satisfy the requirements of this Section only if the attorney general(s) or insurance commissioner(s) of the state in which the guarantor is incorporated, and the state in which the facility covered by the guarantee is located, has submitted a written statement to the Office of Environmental Services that a corporate guarantee is a legally valid and enforceable obligation in that state.</w:t>
      </w:r>
    </w:p>
    <w:p w14:paraId="2860A87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The use of a particular financial assurance mechanism is subject to the approval of the administrative authority.</w:t>
      </w:r>
    </w:p>
    <w:p w14:paraId="1F2BA96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3.</w:t>
      </w:r>
      <w:r w:rsidRPr="00326E64">
        <w:rPr>
          <w:rFonts w:ascii="Times New Roman" w:eastAsia="Calibri" w:hAnsi="Times New Roman" w:cs="Times New Roman"/>
          <w:strike/>
        </w:rPr>
        <w:tab/>
        <w:t>Affected persons must submit evidence of financial assurance in accordance with this Section at least 60 days before the date on which sewage sludge, other materials, feedstock, or supplements are first received for processing.</w:t>
      </w:r>
    </w:p>
    <w:p w14:paraId="690FD6B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Financial Assurance for Closure for Commercial Preparers of Sewage Sludge and Commercial Land Appliers of Biosolids</w:t>
      </w:r>
    </w:p>
    <w:p w14:paraId="1FAE4BE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Commercial preparers of sewage sludge and commercial land appliers of biosolids, hereinafter referred to in this Section as affected persons, shall maintain financial assurance in the amount of $25,000 per site for closure if the amount of sewage sludge prepared or the amount of biosolids applied to the land is less than 15,000 metric tons per year. Evidence of this coverage shall be updated annually and provided to the Office of Environmental Services. This financial assurance may be established by any one or a combination of the methods in Subparagraph E.2.b of this Section. If these requirements cannot be met, an alternative financial assurance mechanism shall be submitted for review and approval by the administrative authority. Such an alternative financial assurance mechanism shall not result in a value of financial assurance that is less than the amount provided as a written cost estimate for closure of the facility in the permit application.</w:t>
      </w:r>
    </w:p>
    <w:p w14:paraId="7CA2DA0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All affected persons not covered in Paragraph E.1 of this Section shall establish and maintain financial assurance for closure in accordance with LAC 33:IX.7305.C.3, and shall submit to the Office of Environmental Services the estimated closure date and the estimated cost of closure in accordance with the following requirements.</w:t>
      </w:r>
    </w:p>
    <w:p w14:paraId="0E93E53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affected person must have a written estimate, in current dollars, of the cost of closing the facility in accordance with the requirements in these regulations. The estimate must equal the cost of closure at the point in the facility's operating life when the extent and manner of its operation would make closure the most expensive, as indicated by the closure plan, and shall be based on the cost of hiring a third party to close the facility in accordance with the closure plan.</w:t>
      </w:r>
    </w:p>
    <w:p w14:paraId="5ACE17C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cost estimates must be adjusted within 30 days after each anniversary of the date on which the first cost estimate was prepared, on the basis of either the inflation factor derived from the Annual Implicit Price Deflator for Gross Domestic Product, as published by the U.S. Department of Commerce in its Survey of Current Business, or a re-estimation of the closure costs in accordance with Subparagraph E.2.a of this Section. The affected person must revise the cost estimate whenever a change in the closure plan increases or decreases the cost of the closure plan. The affected person must submit a written notice of any such adjustment to the Office of Environmental Services within 15 days following such adjustment.</w:t>
      </w:r>
    </w:p>
    <w:p w14:paraId="2F72CCC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 xml:space="preserve">For trust funds, the first payment must be at least equal to the current closure cost estimate, divided by the number of years in the pay-in period. Subsequent payments must be made no later than 30 days after each annual anniversary of the date of the first payment. The amount of each subsequent payment must be determined by </w:t>
      </w:r>
      <w:r w:rsidRPr="00326E64">
        <w:rPr>
          <w:rFonts w:ascii="Times New Roman" w:eastAsia="Calibri" w:hAnsi="Times New Roman" w:cs="Times New Roman"/>
          <w:strike/>
        </w:rPr>
        <w:lastRenderedPageBreak/>
        <w:t>subtracting the current value of the trust fund from the current closure cost estimate and dividing the result by the number of years remaining in the pay-in period. The initial pay-in period is based on the estimated life of the facility.</w:t>
      </w:r>
    </w:p>
    <w:p w14:paraId="622639C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Financial Assurance Instruments. The financial assurance instrument must be one or a combination of the following: a trust fund, a financial guarantee bond ensuring closure funding, a performance bond, a letter of credit, an insurance policy, or the financial test. The financial assurance mechanism is subject to the approval of the administrative authority and must fulfill the following criteria.</w:t>
      </w:r>
    </w:p>
    <w:p w14:paraId="6F8307B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Except when a financial test, trust fund, or certificate of insurance is used as the financial assurance mechanism, a standby trust fund naming the administrative authority as beneficiary must be established at the time of the creation of the financial assurance mechanism into which the proceeds of such mechanism could be transferred should such funds be necessary for closure of the facility, and a signed copy must be furnished to the administrative authority with the mechanism.</w:t>
      </w:r>
    </w:p>
    <w:p w14:paraId="10CCE15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An affected person may use a financial assurance mechanism specified in this Section for more than one facility, if all such facilities are located within the state of Louisiana and are specifically identified in the mechanism.</w:t>
      </w:r>
    </w:p>
    <w:p w14:paraId="1EEC731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The amount covered by the financial assurance mechanisms must equal the total of the current closure cost estimate for each facility covered.</w:t>
      </w:r>
    </w:p>
    <w:p w14:paraId="7007CF3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When all closure requirements have been satisfactorily completed, the administrative authority shall execute an approval to terminate the financial assurance mechanisms.</w:t>
      </w:r>
    </w:p>
    <w:p w14:paraId="76A60C2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Trust Funds. An affected person may satisfy the requirements of this Section by establishing a closure trust fund that conforms to the following requirements and submitting an originally-signed duplicate of the trust agreement to the Office of Environmental Services.</w:t>
      </w:r>
    </w:p>
    <w:p w14:paraId="5B2C5E6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trustee must be an entity that has the authority to act as a trustee and whose trust operations are regulated and examined by a federal or state agency.</w:t>
      </w:r>
    </w:p>
    <w:p w14:paraId="502D639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Trusts must be accomplished in accordance with and subject to the laws of the state of Louisiana. The beneficiary of the trust shall be the administrative authority.</w:t>
      </w:r>
    </w:p>
    <w:p w14:paraId="7853569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Trust fund earnings may be used to offset required payments into the fund, to pay the fund trustee, or to pay other expenses of the funds, or may be reclaimed by the affected person upon approval of the administrative authority.</w:t>
      </w:r>
    </w:p>
    <w:p w14:paraId="302E203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The trust agreement must be accompanied by an affidavit certifying the authority of the individual signing the trust on behalf of the affected person.</w:t>
      </w:r>
    </w:p>
    <w:p w14:paraId="7497E3A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w:t>
      </w:r>
      <w:r w:rsidRPr="00326E64">
        <w:rPr>
          <w:rFonts w:ascii="Times New Roman" w:eastAsia="Calibri" w:hAnsi="Times New Roman" w:cs="Times New Roman"/>
          <w:strike/>
        </w:rPr>
        <w:tab/>
        <w:t>The affected person may accelerate payments into the trust fund or deposit the full amount of the current closure cost estimate at the time the fund is established. The affected person must, however, maintain the value of the fund at no less than the value that the fund would have if annual payments were made as specified in Clause E.2.a.ii of this Section.</w:t>
      </w:r>
    </w:p>
    <w:p w14:paraId="02067F6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w:t>
      </w:r>
      <w:r w:rsidRPr="00326E64">
        <w:rPr>
          <w:rFonts w:ascii="Times New Roman" w:eastAsia="Calibri" w:hAnsi="Times New Roman" w:cs="Times New Roman"/>
          <w:strike/>
        </w:rPr>
        <w:tab/>
        <w:t>If the affected person establishes a trust fund after having used one or more of the alternate instruments specified in this Section, the first payment must be in at least the amount that the fund would contain if the trust fund were established initially and annual payments made according to the specifications of Clause E.2.a.ii of this Section.</w:t>
      </w:r>
    </w:p>
    <w:p w14:paraId="4E52493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vii.</w:t>
      </w:r>
      <w:r w:rsidRPr="00326E64">
        <w:rPr>
          <w:rFonts w:ascii="Times New Roman" w:eastAsia="Calibri" w:hAnsi="Times New Roman" w:cs="Times New Roman"/>
          <w:strike/>
        </w:rPr>
        <w:tab/>
        <w:t>After the pay-in period is completed, whenever the current cost estimate changes, the affected person must compare the new estimate with the trustee's most recent annual valuation of the trust fund. If the value of the fund is less than the amount of the new estimate, the affected person, within 60 days after the change in the cost estimate, must either deposit an amount into the fund that will make its value at least equal to the amount of the closure cost estimate, or obtain other financial assurance as specified in this Section to cover the difference.</w:t>
      </w:r>
    </w:p>
    <w:p w14:paraId="45CEAE2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viii.</w:t>
      </w:r>
      <w:r w:rsidRPr="00326E64">
        <w:rPr>
          <w:rFonts w:ascii="Times New Roman" w:eastAsia="Calibri" w:hAnsi="Times New Roman" w:cs="Times New Roman"/>
          <w:strike/>
        </w:rPr>
        <w:tab/>
        <w:t>After beginning final closure, an affected person or any other person authorized by the affected person to perform closure may request reimbursement for closure expenditures by submitting itemized bills to the Office of Environmental Services. Within 60 days after receiving bills for such activities, the administrative authority will determine whether the closure expenditures are in accordance with the closure plan or otherwise justified, and, if so, he or she will instruct the trustee to make reimbursement in such amounts as the administrative authority specifies in writing. If the administrative authority has reason to believe that the cost of closure will be significantly greater than the value of the trust fund, he may withhold reimbursement for such amounts as he deems prudent until he determines that the affected person is no longer required to maintain financial assurance.</w:t>
      </w:r>
    </w:p>
    <w:p w14:paraId="24FCC8D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ix.</w:t>
      </w:r>
      <w:r w:rsidRPr="00326E64">
        <w:rPr>
          <w:rFonts w:ascii="Times New Roman" w:eastAsia="Calibri" w:hAnsi="Times New Roman" w:cs="Times New Roman"/>
          <w:strike/>
        </w:rPr>
        <w:tab/>
        <w:t>The wording of the trust agreement shall be identical to the wording in LAC 33:IX.7395.Appendix D, except that the instructions in brackets are to be replaced with the relevant information, and the brackets deleted. The trust agreement shall be accompanied by a formal certification of acknowledgement, as in the example in LAC 33:IX.7395.Appendix D.</w:t>
      </w:r>
    </w:p>
    <w:p w14:paraId="10B2C24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Surety Bonds. An affected person may satisfy the requirements of this Subsection by obtaining a surety bond that conforms to the following requirements and submitting the bond to the Office of Environmental Services.</w:t>
      </w:r>
    </w:p>
    <w:p w14:paraId="34D4825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surety company issuing the bond must, at a minimum, be among those listed as acceptable sureties on federal bonds in Circular 570 of the U.S. Department of the Treasury, and be approved by the administrative authority.</w:t>
      </w:r>
    </w:p>
    <w:p w14:paraId="5798842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The affected person who uses a surety bond to satisfy the requirements of this Subsection must also provide to the administrative authority evidence of the establishment of a standby trust fund. Under the terms of the bond, all payments made thereunder will be deposited by the surety directly into the standby trust fund in accordance with instructions from the administrative authority. The wording of the standby trust fund shall be identical to the wording in LAC 33:IX.7395.Appendix D, except that the instructions in brackets are to be replaced with the relevant information, and the brackets deleted. The standby trust agreement shall be accompanied by a formal certification of acknowledgement, as in the example in LAC 33:IX.7395.Appendix D.</w:t>
      </w:r>
    </w:p>
    <w:p w14:paraId="111238B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The bond must guarantee that the affected person will:</w:t>
      </w:r>
    </w:p>
    <w:p w14:paraId="0315891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fund the standby trust fund in an amount equal to the penal sum of the bond before the beginning of final closure of the facility;</w:t>
      </w:r>
    </w:p>
    <w:p w14:paraId="6C38DFF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fund the standby trust fund in an amount equal to the penal sum within 15 days after an order to begin closure is issued; or</w:t>
      </w:r>
    </w:p>
    <w:p w14:paraId="5CF4F1C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 xml:space="preserve">provide alternate financial assurance, as specified in this Section, and obtain the administrative authority's written approval of the assurance provided, </w:t>
      </w:r>
      <w:r w:rsidRPr="00326E64">
        <w:rPr>
          <w:rFonts w:ascii="Times New Roman" w:eastAsia="Calibri" w:hAnsi="Times New Roman" w:cs="Times New Roman"/>
          <w:strike/>
        </w:rPr>
        <w:lastRenderedPageBreak/>
        <w:t>within 90 days after receipt by both the affected person and the administrative authority of a notice of cancellation of the bond from the surety.</w:t>
      </w:r>
    </w:p>
    <w:p w14:paraId="3BED4BF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The terms of the bond must provide that the surety will become liable on the bond obligation when the affected person fails to perform as guaranteed by the bond.</w:t>
      </w:r>
    </w:p>
    <w:p w14:paraId="198844A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w:t>
      </w:r>
      <w:r w:rsidRPr="00326E64">
        <w:rPr>
          <w:rFonts w:ascii="Times New Roman" w:eastAsia="Calibri" w:hAnsi="Times New Roman" w:cs="Times New Roman"/>
          <w:strike/>
        </w:rPr>
        <w:tab/>
        <w:t>The penal sum of the bond must be at least equal to the current closure cost estimate.</w:t>
      </w:r>
    </w:p>
    <w:p w14:paraId="1BBEB98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w:t>
      </w:r>
      <w:r w:rsidRPr="00326E64">
        <w:rPr>
          <w:rFonts w:ascii="Times New Roman" w:eastAsia="Calibri" w:hAnsi="Times New Roman" w:cs="Times New Roman"/>
          <w:strike/>
        </w:rPr>
        <w:tab/>
        <w:t>Whenever the current closure cost estimate increases to an amount greater than the penal sum, the affected person, within 60 days after the increase, must either cause the penal sum to be increased to an amount at least equal to the current closure cost estimate and submit evidence of such increase to the Office of Environmental Services, or obtain other financial assurance as specified in this Section to cover the increase. Whenever the current closure cost estimate decreases, the penal sum may be reduced to the amount of the current closure cost estimate following written approval by the administrative authority.</w:t>
      </w:r>
    </w:p>
    <w:p w14:paraId="7EE0110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vii.</w:t>
      </w:r>
      <w:r w:rsidRPr="00326E64">
        <w:rPr>
          <w:rFonts w:ascii="Times New Roman" w:eastAsia="Calibri" w:hAnsi="Times New Roman" w:cs="Times New Roman"/>
          <w:strike/>
        </w:rPr>
        <w:tab/>
        <w:t>Under the terms of the bond, the surety may cancel the bond by sending notice of cancellation by certified mail to the affected person and to the Office of Environmental Services. Cancellation may not occur, however, before 120 days have elapsed, beginning on the date that both the affected person and the administrative authority have received the notice of cancellation, as evidenced by the return receipts.</w:t>
      </w:r>
    </w:p>
    <w:p w14:paraId="74F976E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viii.</w:t>
      </w:r>
      <w:r w:rsidRPr="00326E64">
        <w:rPr>
          <w:rFonts w:ascii="Times New Roman" w:eastAsia="Calibri" w:hAnsi="Times New Roman" w:cs="Times New Roman"/>
          <w:strike/>
        </w:rPr>
        <w:tab/>
        <w:t>The wording of the surety bond guaranteeing payment into a standby trust fund shall be identical to the wording in LAC 33:IX.7395.Appendix E, except that the instructions in brackets are to be replaced with the relevant information, and the brackets deleted.</w:t>
      </w:r>
    </w:p>
    <w:p w14:paraId="2154766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Performance Bonds. An affected person may satisfy the requirements of this Subsection by obtaining a surety bond that conforms to the following requirements and submitting the bond to the Office of Environmental Services.</w:t>
      </w:r>
    </w:p>
    <w:p w14:paraId="404E530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surety company issuing the bond must, at a minimum, be among those listed as acceptable sureties on federal bonds in Circular 570 of the U.S. Department of the Treasury, and be approved by the administrative authority.</w:t>
      </w:r>
    </w:p>
    <w:p w14:paraId="17D54EE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The affected person who uses a surety bond to satisfy the requirements of this Subsection must also provide to the administrative authority evidence of establishment of a standby trust fund. Under the terms of the bond, all payments made thereunder will be deposited by the surety directly into the standby trust fund in accordance with instructions from the administrative authority. The wording of the standby trust agreement shall be identical to the wording in LAC 33:IX.7395.Appendix D, except that the instructions in brackets are to be replaced with the relevant information, and the brackets deleted. The standby trust agreement shall be accompanied by a formal certification of acknowledgement, as in the example in LAC 33:IX.7395.Appendix D.</w:t>
      </w:r>
    </w:p>
    <w:p w14:paraId="6D40AF5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The bond must guarantee that the affected person will:</w:t>
      </w:r>
    </w:p>
    <w:p w14:paraId="659351A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perform final closure in accordance with the closure plan and other requirements of the permit for the facility whenever required to do so; or</w:t>
      </w:r>
    </w:p>
    <w:p w14:paraId="5FB0649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provide alternate financial assurance, as specified in this Section, and obtain the administrative authority's written approval of the assurance provided, within 90 days after the date both the affected person and the administrative authority receive notice of cancellation of the bond from the surety.</w:t>
      </w:r>
    </w:p>
    <w:p w14:paraId="0D0F9E1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The terms of the bond must provide that the surety will become liable on the bond obligation when the affected person fails to perform as guaranteed by the bond. Following a determination by the administrative authority that the affected person has failed to perform final closure in accordance with the closure plan and other permit requirements when required to do so, under the terms of the bond the surety will perform final closure as guaranteed by the bond or will deposit the amount of the penal sum into the standby trust fund.</w:t>
      </w:r>
    </w:p>
    <w:p w14:paraId="2B2FC84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w:t>
      </w:r>
      <w:r w:rsidRPr="00326E64">
        <w:rPr>
          <w:rFonts w:ascii="Times New Roman" w:eastAsia="Calibri" w:hAnsi="Times New Roman" w:cs="Times New Roman"/>
          <w:strike/>
        </w:rPr>
        <w:tab/>
        <w:t>The penal sum of the bond must be at least equal to the current closure cost estimate.</w:t>
      </w:r>
    </w:p>
    <w:p w14:paraId="6322CD9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w:t>
      </w:r>
      <w:r w:rsidRPr="00326E64">
        <w:rPr>
          <w:rFonts w:ascii="Times New Roman" w:eastAsia="Calibri" w:hAnsi="Times New Roman" w:cs="Times New Roman"/>
          <w:strike/>
        </w:rPr>
        <w:tab/>
        <w:t>Whenever the current closure cost estimate increases to an amount greater than the penal sum, the affected person, within 60 days after the increase, must either cause the penal sum to be increased to an amount at least equal to the current closure cost estimate and submit evidence of such increase to the Office of Environmental Services, or obtain other financial assurance as specified in this Section. Whenever the current cost estimate decreases, the penal sum may be reduced to the amount of the current cost estimate after written approval of the administrative authority.</w:t>
      </w:r>
    </w:p>
    <w:p w14:paraId="4936017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vii.</w:t>
      </w:r>
      <w:r w:rsidRPr="00326E64">
        <w:rPr>
          <w:rFonts w:ascii="Times New Roman" w:eastAsia="Calibri" w:hAnsi="Times New Roman" w:cs="Times New Roman"/>
          <w:strike/>
        </w:rPr>
        <w:tab/>
        <w:t>Under the terms of the bond, the surety may cancel the bond by sending notice of cancellation by certified mail to the affected person and to the Office of Environmental Services. Cancellation may not occur before 120 days have elapsed, beginning on the date that both the affected person and the administrative authority have received the notice of cancellation, as evidenced by the return receipts.</w:t>
      </w:r>
    </w:p>
    <w:p w14:paraId="37E3AD8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viii.</w:t>
      </w:r>
      <w:r w:rsidRPr="00326E64">
        <w:rPr>
          <w:rFonts w:ascii="Times New Roman" w:eastAsia="Calibri" w:hAnsi="Times New Roman" w:cs="Times New Roman"/>
          <w:strike/>
        </w:rPr>
        <w:tab/>
        <w:t>The wording of the performance bond shall be identical to the wording in LAC 33:IX.7395.Appendix F, except that the instructions in brackets are to be replaced with the relevant information, and the brackets deleted.</w:t>
      </w:r>
    </w:p>
    <w:p w14:paraId="3485698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f.</w:t>
      </w:r>
      <w:r w:rsidRPr="00326E64">
        <w:rPr>
          <w:rFonts w:ascii="Times New Roman" w:eastAsia="Calibri" w:hAnsi="Times New Roman" w:cs="Times New Roman"/>
          <w:strike/>
        </w:rPr>
        <w:tab/>
        <w:t>Letter of Credit. An affected person may satisfy the requirements of this Subsection by obtaining an irrevocable standby letter of credit that conforms to the following requirements and submitting the letter to the Office of Environmental Services.</w:t>
      </w:r>
    </w:p>
    <w:p w14:paraId="7D2DB36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issuing institution must be an entity that has the authority to issue letters of credit and whose letter-of-credit operations are regulated and examined by a federal or state agency.</w:t>
      </w:r>
    </w:p>
    <w:p w14:paraId="5D47ACE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The affected person who uses a letter of credit to satisfy the requirements of this Subsection must also provide to the administrative authority evidence of the establishment of a standby trust fund. Under the terms of the letter of credit, all amounts paid pursuant to a draft by the administrative authority will be deposited by the issuing institution directly into the standby trust fund. The wording of the standby trust fund shall be identical to the wording in LAC 33:IX.7395.Appendix D, except that the instructions in brackets are to be replaced with the relevant information, and the brackets deleted. The standby trust agreement shall be accompanied by a formal certification of acknowledgement, as in the example in LAC 33:IX.7395.Appendix D.</w:t>
      </w:r>
    </w:p>
    <w:p w14:paraId="21C15FA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The letter of credit must be accompanied by a letter from the affected person referring to the letter of credit by number, issuing institution, and date, and providing the following information:</w:t>
      </w:r>
    </w:p>
    <w:p w14:paraId="127F70E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agency interest number;</w:t>
      </w:r>
    </w:p>
    <w:p w14:paraId="3E1BCCC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site name, if applicable;</w:t>
      </w:r>
    </w:p>
    <w:p w14:paraId="4B8AB25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the facility name;</w:t>
      </w:r>
    </w:p>
    <w:p w14:paraId="22E9D17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the facility permit number; and</w:t>
      </w:r>
    </w:p>
    <w:p w14:paraId="7F1470E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the amount of funds assured for closure of the facility by the letter of credit.</w:t>
      </w:r>
    </w:p>
    <w:p w14:paraId="4E3B549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The letter of credit must be irrevocable and issued for a period of at least one year unless, at least 120 days before the current expiration date, the issuing institution notifies both the affected person and the Office of Environmental Services by certified mail of a decision not to extend the expiration date. Under the terms of the letter of credit, the 120 days will begin on the date when both the affected person and the administrative authority have received the notice, as evidenced by the return receipts.</w:t>
      </w:r>
    </w:p>
    <w:p w14:paraId="5529BBA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w:t>
      </w:r>
      <w:r w:rsidRPr="00326E64">
        <w:rPr>
          <w:rFonts w:ascii="Times New Roman" w:eastAsia="Calibri" w:hAnsi="Times New Roman" w:cs="Times New Roman"/>
          <w:strike/>
        </w:rPr>
        <w:tab/>
        <w:t>The letter of credit must be issued in an amount at least equal to the current closure cost estimate.</w:t>
      </w:r>
    </w:p>
    <w:p w14:paraId="3D113E2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w:t>
      </w:r>
      <w:r w:rsidRPr="00326E64">
        <w:rPr>
          <w:rFonts w:ascii="Times New Roman" w:eastAsia="Calibri" w:hAnsi="Times New Roman" w:cs="Times New Roman"/>
          <w:strike/>
        </w:rPr>
        <w:tab/>
        <w:t>Whenever the current cost estimates increase to an amount greater than the amount of the credit, the affected person, within 60 days after the increase, must either cause the amount of the credit to be increased so that it at least equals the current closure cost estimate and submit evidence of such increase to the Office of Environmental Services, or obtain other financial assurance as specified in this Subsection to cover the increase. Whenever the current cost estimate decreases, the amount of the credit may be reduced to the amount of the current closure cost estimate upon written approval of the administrative authority.</w:t>
      </w:r>
    </w:p>
    <w:p w14:paraId="598B20E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vii.</w:t>
      </w:r>
      <w:r w:rsidRPr="00326E64">
        <w:rPr>
          <w:rFonts w:ascii="Times New Roman" w:eastAsia="Calibri" w:hAnsi="Times New Roman" w:cs="Times New Roman"/>
          <w:strike/>
        </w:rPr>
        <w:tab/>
        <w:t>Following a determination by the administrative authority that the affected person has failed to perform final closure in accordance with the closure plan and other permit requirements when required to do so, the administrative authority may draw on the letter of credit.</w:t>
      </w:r>
    </w:p>
    <w:p w14:paraId="4979647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viii.</w:t>
      </w:r>
      <w:r w:rsidRPr="00326E64">
        <w:rPr>
          <w:rFonts w:ascii="Times New Roman" w:eastAsia="Calibri" w:hAnsi="Times New Roman" w:cs="Times New Roman"/>
          <w:strike/>
        </w:rPr>
        <w:tab/>
        <w:t>The wording of the letter of credit shall be identical to the wording in LAC 33:IX.7395.Appendix G, except that the instructions in brackets are to be replaced with the relevant information, and the brackets deleted.</w:t>
      </w:r>
    </w:p>
    <w:p w14:paraId="510F94A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g.</w:t>
      </w:r>
      <w:r w:rsidRPr="00326E64">
        <w:rPr>
          <w:rFonts w:ascii="Times New Roman" w:eastAsia="Calibri" w:hAnsi="Times New Roman" w:cs="Times New Roman"/>
          <w:strike/>
        </w:rPr>
        <w:tab/>
        <w:t>Insurance. An affected person may satisfy the requirements of this Subsection by obtaining insurance that conforms to the following requirements and submitting a certificate of such insurance to the Office of Environmental Services.</w:t>
      </w:r>
    </w:p>
    <w:p w14:paraId="5DC599D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At a minimum, the insurer must be licensed to transact the business of insurance, or eligible to provide insurance as an excess- or surplus-lines insurer in one or more states, and authorized to transact insurance business in the state of Louisiana.</w:t>
      </w:r>
    </w:p>
    <w:p w14:paraId="00AB8D2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The insurance policy must be issued for a face amount at least equal to the current closure cost estimate.</w:t>
      </w:r>
    </w:p>
    <w:p w14:paraId="5053901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The term "face amount" means the total amount the insurer is obligated to pay under the policy. Actual payments by the insurer will not change the face amount, although the insurer's future liability will be lowered by the amount of the payments.</w:t>
      </w:r>
    </w:p>
    <w:p w14:paraId="30CB007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The insurance policy must guarantee that funds will be available to close the facility. The policy must also guarantee that, once final closure begins, the insurer will be responsible for paying out funds up to an amount equal to the face amount of the policy, upon the direction of the administrative authority, to such party or parties as the administrative authority specifies.</w:t>
      </w:r>
    </w:p>
    <w:p w14:paraId="76DED40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w:t>
      </w:r>
      <w:r w:rsidRPr="00326E64">
        <w:rPr>
          <w:rFonts w:ascii="Times New Roman" w:eastAsia="Calibri" w:hAnsi="Times New Roman" w:cs="Times New Roman"/>
          <w:strike/>
        </w:rPr>
        <w:tab/>
        <w:t xml:space="preserve">After beginning final closure, an affected person or any other person authorized by the affected person to perform closure may request reimbursement for closure expenditures by submitting itemized bills to the Office of Environmental Services. Within 60 days after receiving such bills, the administrative authority will determine whether the </w:t>
      </w:r>
      <w:r w:rsidRPr="00326E64">
        <w:rPr>
          <w:rFonts w:ascii="Times New Roman" w:eastAsia="Calibri" w:hAnsi="Times New Roman" w:cs="Times New Roman"/>
          <w:strike/>
        </w:rPr>
        <w:lastRenderedPageBreak/>
        <w:t>expenditures are in accordance with the closure plan or otherwise justified, and if so, he or she will instruct the insurer to make reimbursement in such amounts as the administrative authority specifies in writing.</w:t>
      </w:r>
    </w:p>
    <w:p w14:paraId="5D795D8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w:t>
      </w:r>
      <w:r w:rsidRPr="00326E64">
        <w:rPr>
          <w:rFonts w:ascii="Times New Roman" w:eastAsia="Calibri" w:hAnsi="Times New Roman" w:cs="Times New Roman"/>
          <w:strike/>
        </w:rPr>
        <w:tab/>
        <w:t>The affected person must maintain the policy in full force and effect until the administrative authority consents to termination of the policy by the affected person.</w:t>
      </w:r>
    </w:p>
    <w:p w14:paraId="14069C8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vii.</w:t>
      </w:r>
      <w:r w:rsidRPr="00326E64">
        <w:rPr>
          <w:rFonts w:ascii="Times New Roman" w:eastAsia="Calibri" w:hAnsi="Times New Roman" w:cs="Times New Roman"/>
          <w:strike/>
        </w:rPr>
        <w:tab/>
        <w:t>Each policy must contain a provision allowing assignment of the policy to a successor of an affected person. Such assignment may be conditional upon consent of the insurer, provided consent is not unreasonably refused.</w:t>
      </w:r>
    </w:p>
    <w:p w14:paraId="5CAEAFC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viii.</w:t>
      </w:r>
      <w:r w:rsidRPr="00326E64">
        <w:rPr>
          <w:rFonts w:ascii="Times New Roman" w:eastAsia="Calibri" w:hAnsi="Times New Roman" w:cs="Times New Roman"/>
          <w:strike/>
        </w:rPr>
        <w:tab/>
        <w:t>The policy must provide that the insurer may not cancel, terminate, or fail to renew the policy except for failure to pay the premium. The automatic renewal of the policy must, at a minimum, provide the insured with the option of renewal at the face amount of the expiring policy. If there is a failure to pay the premium, the insurer may elect to cancel, terminate, or fail to renew the policy by sending notice by certified mail to the affected person and the Office of Environmental Services. Cancellation, termination, or failure to renew may not occur, however, before 120 days have elapsed, beginning on the date that both the administrative authority and the affected person have received the notice of cancellation, as evidenced by the return receipts. Cancellation, termination, or failure to renew may not occur, and the policy will remain in full force and effect in the event that, on or before the date of expiration:</w:t>
      </w:r>
    </w:p>
    <w:p w14:paraId="3499E72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administrative authority deems the facility abandoned;</w:t>
      </w:r>
    </w:p>
    <w:p w14:paraId="0F4624D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permit is terminated or revoked or a new permit is denied;</w:t>
      </w:r>
    </w:p>
    <w:p w14:paraId="11009CE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closure is ordered;</w:t>
      </w:r>
    </w:p>
    <w:p w14:paraId="5F91393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the affected person is named as debtor in a voluntary or involuntary proceeding under Title 11 (Bankruptcy), U.S. Code; or</w:t>
      </w:r>
    </w:p>
    <w:p w14:paraId="614CDC4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the premium due is paid.</w:t>
      </w:r>
    </w:p>
    <w:p w14:paraId="5CAA8B5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ix.</w:t>
      </w:r>
      <w:r w:rsidRPr="00326E64">
        <w:rPr>
          <w:rFonts w:ascii="Times New Roman" w:eastAsia="Calibri" w:hAnsi="Times New Roman" w:cs="Times New Roman"/>
          <w:strike/>
        </w:rPr>
        <w:tab/>
        <w:t>Whenever the current cost estimate increases to an amount greater than the face amount of the policy, the affected person, within 60 days after the increase, must either increase the face amount to at least equal to the current closure cost estimate and submit evidence of such increase to the Office of Environmental Services, or obtain other financial assurance as specified in this Subsection to cover the increase. Whenever the current cost estimate decreases, the face amount may be reduced to the amount of the current closure cost estimate following written approval by the administrative authority.</w:t>
      </w:r>
    </w:p>
    <w:p w14:paraId="15AF9D3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x.</w:t>
      </w:r>
      <w:r w:rsidRPr="00326E64">
        <w:rPr>
          <w:rFonts w:ascii="Times New Roman" w:eastAsia="Calibri" w:hAnsi="Times New Roman" w:cs="Times New Roman"/>
          <w:strike/>
        </w:rPr>
        <w:tab/>
        <w:t>The wording of the certificate of insurance shall be identical to the wording in LAC 33:IX.7395.Appendix H, except that the instructions in brackets are to be replaced with the relevant information, and the brackets deleted.</w:t>
      </w:r>
    </w:p>
    <w:p w14:paraId="0D2FD57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h.</w:t>
      </w:r>
      <w:r w:rsidRPr="00326E64">
        <w:rPr>
          <w:rFonts w:ascii="Times New Roman" w:eastAsia="Calibri" w:hAnsi="Times New Roman" w:cs="Times New Roman"/>
          <w:strike/>
        </w:rPr>
        <w:tab/>
        <w:t>Financial Test. An affected person or a parent corporation of the affected person, which will be responsible for the financial obligations, may satisfy the requirements of this Section by demonstrating that a financial test as specified in this Subparagraph is met. The assets of the parent corporation of the affected person shall not be used to determine whether the affected person satisfies the financial test, unless the parent corporation has supplied a corporate guarantee as outlined in Subparagraph D.1.d and/or Clause E.2.h.ix of this Section.</w:t>
      </w:r>
    </w:p>
    <w:p w14:paraId="7F1D522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To pass this test, the affected person or parent corporation of the affected person must meet either of the following criteria:</w:t>
      </w:r>
    </w:p>
    <w:p w14:paraId="22E5A22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affected person or parent corporation of the affected person must have:</w:t>
      </w:r>
    </w:p>
    <w:p w14:paraId="5E8A489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tangible net worth of at least six times the sum of the current closure cost estimate to be demonstrated by this test and the amount of liability coverage to be demonstrated by this test;</w:t>
      </w:r>
    </w:p>
    <w:p w14:paraId="7A0EEEC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tangible net worth of at least $10 million; and</w:t>
      </w:r>
    </w:p>
    <w:p w14:paraId="29EBAED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assets in the United States amounting to either at least 90 percent of its total assets, or at least six times the sum of the current closure cost estimate, to be demonstrated by this test, and the amount of liability coverage to be demonstrated by this test; or</w:t>
      </w:r>
    </w:p>
    <w:p w14:paraId="519F913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affected person or parent corporation of the affected person must have:</w:t>
      </w:r>
    </w:p>
    <w:p w14:paraId="7193221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a current rating for its most recent bond issuance of AAA, AA, A, or BBB, as issued by Standard and Poor's, or Aaa, Aa, or Baa, as issued by Moody's;</w:t>
      </w:r>
    </w:p>
    <w:p w14:paraId="34903CF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tangible net worth of at least $10 million; and</w:t>
      </w:r>
    </w:p>
    <w:p w14:paraId="1C7F19B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 xml:space="preserve">assets in the United States amounting to either 90 percent of its total assets or at least six times the sum of the current closure cost </w:t>
      </w:r>
      <w:r w:rsidRPr="00326E64">
        <w:rPr>
          <w:rFonts w:ascii="Times New Roman" w:eastAsia="Calibri" w:hAnsi="Times New Roman" w:cs="Times New Roman"/>
          <w:strike/>
        </w:rPr>
        <w:lastRenderedPageBreak/>
        <w:t>estimate, to be demonstrated by this test, and the amount of liability coverage to be demonstrated by this test.</w:t>
      </w:r>
    </w:p>
    <w:p w14:paraId="530A100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To demonstrate that this test is met, the affected person or parent corporation of the affected person must submit the following three items to the Office of Environmental Services:</w:t>
      </w:r>
    </w:p>
    <w:p w14:paraId="44154C6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a letter signed by the chief financial officer of the affected person or parent corporation demonstrating and certifying the criteria in Clause E.2.h.i of this Section and including the information required by Clause E.2.h.iv of this Section. If the financial test is provided to demonstrate both assurance for closure and liability coverage, a single letter to cover both forms of financial assurance is required;</w:t>
      </w:r>
    </w:p>
    <w:p w14:paraId="0022162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a copy of the report of the independent certified public accountant (CPA) on the financial statements of the affected person or parent corporation of the affected person for the latest completed fiscal year; and</w:t>
      </w:r>
    </w:p>
    <w:p w14:paraId="36B8386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a special report from the independent CPA to the affected person or parent corporation of the affected person stating that:</w:t>
      </w:r>
    </w:p>
    <w:p w14:paraId="54595CC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CPA has computed the data specified by the chief financial officer as having been derived from the independently audited, year-end financial statements with the amounts for the latest fiscal year in such financial statements; and</w:t>
      </w:r>
    </w:p>
    <w:p w14:paraId="034A1D5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in connection with that procedure, no matters came to his attention that caused him to believe that the specified data should be adjusted.</w:t>
      </w:r>
    </w:p>
    <w:p w14:paraId="4D541F3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 xml:space="preserve">The administrative authority may disallow use of this test on the basis of the opinion expressed by the independent CPA in his report on qualifications </w:t>
      </w:r>
      <w:r w:rsidRPr="00326E64">
        <w:rPr>
          <w:rFonts w:ascii="Times New Roman" w:eastAsia="Calibri" w:hAnsi="Times New Roman" w:cs="Times New Roman"/>
          <w:strike/>
        </w:rPr>
        <w:lastRenderedPageBreak/>
        <w:t>based on the financial statements. An adverse opinion or a disclaimer of opinion will be cause for disallowance. The administrative authority will evaluate other qualifications on an individual basis. The administrative authority may disallow the use of this test on the basis of the accessibility of the assets of the parent corporation (corporate guarantor) or affected person. The affected person or parent corporation must provide evidence of insurance for the entire amount of required liability coverage, as specified in this Section, within 30 days after notification of disallowance.</w:t>
      </w:r>
    </w:p>
    <w:p w14:paraId="2F3D886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The affected person or parent corporation (if a corporate guarantor) of the affected person shall provide to the Office of Environmental Services a letter from the chief financial officer, the wording of which shall be identical to the wording in LAC 33:IX.7395.Appendix I, except that the instructions in brackets are to be replaced with the relevant information, and the brackets deleted. The letter shall certify the following information:</w:t>
      </w:r>
    </w:p>
    <w:p w14:paraId="66A77E1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a list of facilities, whether in the state of Louisiana or not, owned or operated by the affected person of the facility, for which financial assurance for liability coverage is demonstrated through the use of financial tests, including the amount of liability coverage;</w:t>
      </w:r>
    </w:p>
    <w:p w14:paraId="429DE11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a list of facilities, whether in the state of Louisiana or not, owned or operated by the affected person, for which financial assurance for the closure is demonstrated through the use of a financial test or self-insurance by the affected person, including the cost estimates for the closure of each facility;</w:t>
      </w:r>
    </w:p>
    <w:p w14:paraId="3DD054C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a list of the facilities, whether in the state of Louisiana or not, owned or operated by any subsidiaries of the parent corporation for which financial assurance for closure is demonstrated through the financial test or through use of self-</w:t>
      </w:r>
      <w:r w:rsidRPr="00326E64">
        <w:rPr>
          <w:rFonts w:ascii="Times New Roman" w:eastAsia="Calibri" w:hAnsi="Times New Roman" w:cs="Times New Roman"/>
          <w:strike/>
        </w:rPr>
        <w:lastRenderedPageBreak/>
        <w:t>insurance, including the current cost estimate for the closure for each facility and the amount of annual aggregate liability coverage for each facility; and</w:t>
      </w:r>
    </w:p>
    <w:p w14:paraId="7C50CC4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a list of facilities, whether in the state of Louisiana or not, for which financial assurance for closure is not demonstrated through the financial test, self-insurance, or other substantially equivalent state instruments, including the estimated cost of closure of such facilities.</w:t>
      </w:r>
    </w:p>
    <w:p w14:paraId="42B8A66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w:t>
      </w:r>
      <w:r w:rsidRPr="00326E64">
        <w:rPr>
          <w:rFonts w:ascii="Times New Roman" w:eastAsia="Calibri" w:hAnsi="Times New Roman" w:cs="Times New Roman"/>
          <w:strike/>
        </w:rPr>
        <w:tab/>
        <w:t>For the purposes of this Subsection the phrase tangible net worth shall mean the tangible assets that remain after liabilities have been deducted; such assets would not include intangibles such as good will and rights to patents or royalties.</w:t>
      </w:r>
    </w:p>
    <w:p w14:paraId="40D5116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w:t>
      </w:r>
      <w:r w:rsidRPr="00326E64">
        <w:rPr>
          <w:rFonts w:ascii="Times New Roman" w:eastAsia="Calibri" w:hAnsi="Times New Roman" w:cs="Times New Roman"/>
          <w:strike/>
        </w:rPr>
        <w:tab/>
        <w:t>The phrase current closure cost estimate, as used in Clause E.2.h.i of this Section, includes the cost estimate required to be shown in Division E.2.h.i.(a).(i) of this Section.</w:t>
      </w:r>
    </w:p>
    <w:p w14:paraId="4908FDD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vii.</w:t>
      </w:r>
      <w:r w:rsidRPr="00326E64">
        <w:rPr>
          <w:rFonts w:ascii="Times New Roman" w:eastAsia="Calibri" w:hAnsi="Times New Roman" w:cs="Times New Roman"/>
          <w:strike/>
        </w:rPr>
        <w:tab/>
        <w:t>After initial submission of the items specified in Clause E.2.h.ii of this Section, the affected person or parent corporation of the affected person must send updated information to the Office of Environmental Services within 90 days after the close of each succeeding fiscal year. This information must include all three items specified in Clause E.2.h.ii of this Section.</w:t>
      </w:r>
    </w:p>
    <w:p w14:paraId="78FF437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viii.</w:t>
      </w:r>
      <w:r w:rsidRPr="00326E64">
        <w:rPr>
          <w:rFonts w:ascii="Times New Roman" w:eastAsia="Calibri" w:hAnsi="Times New Roman" w:cs="Times New Roman"/>
          <w:strike/>
        </w:rPr>
        <w:tab/>
        <w:t xml:space="preserve">The administrative authority may, on the basis of a reasonable belief that the affected person or parent corporation of the affected person may no longer meet the requirements of this Subparagraph, require reports of financial condition at any time in addition to those specified in Clause E.2.h.ii of this Section. If the administrative authority finds, on the basis of such reports or other information, that the affected person or parent corporation of affected person no longer meets the requirements of Clause E.2.h.ii of this </w:t>
      </w:r>
      <w:r w:rsidRPr="00326E64">
        <w:rPr>
          <w:rFonts w:ascii="Times New Roman" w:eastAsia="Calibri" w:hAnsi="Times New Roman" w:cs="Times New Roman"/>
          <w:strike/>
        </w:rPr>
        <w:lastRenderedPageBreak/>
        <w:t>Section, the affected person or parent corporation of the affected person must provide alternate financial assurance as specified in this Subsection within 30 days after notification of such a finding.</w:t>
      </w:r>
    </w:p>
    <w:p w14:paraId="73CC6A6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ix.</w:t>
      </w:r>
      <w:r w:rsidRPr="00326E64">
        <w:rPr>
          <w:rFonts w:ascii="Times New Roman" w:eastAsia="Calibri" w:hAnsi="Times New Roman" w:cs="Times New Roman"/>
          <w:strike/>
        </w:rPr>
        <w:tab/>
        <w:t>An affected person may meet the requirements of this Subparagraph for closure by obtaining a written guarantee, hereafter referred to as a corporate guarantee. The guarantor must be the parent corporation of the affected person. The guarantor must meet the requirements and submit all information required for affected persons in Clauses E.2.h.i-viii of this Section and must comply with the terms of the corporate guarantee. The corporate guarantee must accompany the items sent to the administrative authority specified in Clauses E.2.h.ii and iv of this Section. The wording of the corporate guarantee must be identical to the wording in LAC 33:IX.7395.Appendix J, except that instructions in brackets are to be replaced with the relevant information, and the brackets deleted. The terms of the corporate guarantee must be in an authentic act signed and sworn by an authorized officer of the corporation before a notary public and must provide that:</w:t>
      </w:r>
    </w:p>
    <w:p w14:paraId="041AA53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guarantor meets or exceeds the financial test criteria and agrees to comply with the reporting requirements for guarantors as specified in Clauses E.2.h.ii and iv of this Section;</w:t>
      </w:r>
    </w:p>
    <w:p w14:paraId="0D40366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guarantor is the parent corporation of the affected person of the facilities to be covered by the guarantee, and the guarantee extends to certain facilities;</w:t>
      </w:r>
    </w:p>
    <w:p w14:paraId="73749D1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closure plans, as used in the guarantee, refers to the plans maintained as required by the state of Louisiana regulations for the closure of facilities, as identified in the guarantee;</w:t>
      </w:r>
    </w:p>
    <w:p w14:paraId="5BBC06C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for value received from the affected person, the guarantor guarantees to the Office of Environmental Services that the affected person will perform closure of the facility or facilities listed in the guarantee, in accordance with the closure plan and other permit or regulatory requirements whenever required to do so. In the event that the affected person fails to perform as specified in the closure plan, the guarantor shall do so or establish a trust fund as specified in Subparagraph E.2.c of this Section, in the name of the affected person, in the amount of the current closure cost estimate or as specified in Clause E.2.b.ii of this Section;</w:t>
      </w:r>
    </w:p>
    <w:p w14:paraId="575CBE6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the guarantor agrees that if, at the end of any fiscal year before termination of the guarantee, the guarantor fails to meet the financial test criteria, the guarantor shall send within 90 days after the end of the fiscal year, by certified mail, notice to the Office of Environmental Services and to the affected person that he intends to provide alternative financial assurance as specified in this Subsection, in the name of the affected person, and that within 120 days after the end of such fiscal year, the guarantor shall establish such financial assurance unless the affected person has done so;</w:t>
      </w:r>
    </w:p>
    <w:p w14:paraId="1C018BE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(f).</w:t>
      </w:r>
      <w:r w:rsidRPr="00326E64">
        <w:rPr>
          <w:rFonts w:ascii="Times New Roman" w:eastAsia="Calibri" w:hAnsi="Times New Roman" w:cs="Times New Roman"/>
          <w:strike/>
        </w:rPr>
        <w:tab/>
        <w:t>the guarantor agrees to notify the Office of Environmental Services by certified mail of a voluntary or involuntary proceeding under Title 11 (Bankruptcy), U.S. Code, naming the guarantor as debtor, within 10 days after commencement of the proceeding;</w:t>
      </w:r>
    </w:p>
    <w:p w14:paraId="025FE00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(g).</w:t>
      </w:r>
      <w:r w:rsidRPr="00326E64">
        <w:rPr>
          <w:rFonts w:ascii="Times New Roman" w:eastAsia="Calibri" w:hAnsi="Times New Roman" w:cs="Times New Roman"/>
          <w:strike/>
        </w:rPr>
        <w:tab/>
        <w:t xml:space="preserve">the guarantor agrees that within 30 days after being notified by the administrative authority of a determination that the guarantor no longer meets the financial test criteria or that the guarantor is disallowed from continuing as a guarantor of </w:t>
      </w:r>
      <w:r w:rsidRPr="00326E64">
        <w:rPr>
          <w:rFonts w:ascii="Times New Roman" w:eastAsia="Calibri" w:hAnsi="Times New Roman" w:cs="Times New Roman"/>
          <w:strike/>
        </w:rPr>
        <w:lastRenderedPageBreak/>
        <w:t>closure, the guarantor will establish alternate financial assurance as specified in this Subsection in the name of the affected person, unless the affected person has done so;</w:t>
      </w:r>
    </w:p>
    <w:p w14:paraId="3322233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(h).</w:t>
      </w:r>
      <w:r w:rsidRPr="00326E64">
        <w:rPr>
          <w:rFonts w:ascii="Times New Roman" w:eastAsia="Calibri" w:hAnsi="Times New Roman" w:cs="Times New Roman"/>
          <w:strike/>
        </w:rPr>
        <w:tab/>
        <w:t>the guarantor agrees to remain bound under the guarantee, notwithstanding any or all of the following: amendment or modification of the closure plan, amendment or modification of the permit, extension or reduction of the time of performance of closure, or any other modification or alteration of an obligation of the affected person in accordance with these regulations;</w:t>
      </w:r>
    </w:p>
    <w:p w14:paraId="3FAECBE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guarantor agrees to remain bound under the guarantee for as long as the affected person must comply with the applicable financial assurance requirements of this Subsection for the facilities covered by the corporate guarantee, except that the guarantor may cancel this guarantee by sending notice by certified mail to the Office of Environmental Services and the affected person. The cancellation will become effective no earlier than 90 days after receipt of such notice by both the administrative authority and the affected person, as evidenced by the return receipts;</w:t>
      </w:r>
    </w:p>
    <w:p w14:paraId="2FD2421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(j).</w:t>
      </w:r>
      <w:r w:rsidRPr="00326E64">
        <w:rPr>
          <w:rFonts w:ascii="Times New Roman" w:eastAsia="Calibri" w:hAnsi="Times New Roman" w:cs="Times New Roman"/>
          <w:strike/>
        </w:rPr>
        <w:tab/>
        <w:t>the guarantor agrees that if the affected person fails to provide alternative financial assurance as specified in this Subsection, and to obtain written approval of such assurance from the administrative authority within 60 days after the administrative authority receives the guarantor's notice of cancellation, the guarantor shall provide such alternate financial assurance in the name of the affected person; and</w:t>
      </w:r>
    </w:p>
    <w:p w14:paraId="303EB4B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(k).</w:t>
      </w:r>
      <w:r w:rsidRPr="00326E64">
        <w:rPr>
          <w:rFonts w:ascii="Times New Roman" w:eastAsia="Calibri" w:hAnsi="Times New Roman" w:cs="Times New Roman"/>
          <w:strike/>
        </w:rPr>
        <w:tab/>
        <w:t>the guarantor expressly waives notice of acceptance of the guarantee by the administrative authority or by the affected person. The guarantor also expressly waives notice of amendments or modifications of the closure plan and of amendments or modifications of the facility permit.</w:t>
      </w:r>
    </w:p>
    <w:p w14:paraId="70A79F1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Local Government Financial Test. An affected person that is a local government and that satisfies the requirements of Clauses E.2.i.i-iii of this Section may demonstrate financial assurance up to the amount specified in Clause E.2.i.iv of this Section.</w:t>
      </w:r>
    </w:p>
    <w:p w14:paraId="698EB0D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Financial Component</w:t>
      </w:r>
    </w:p>
    <w:p w14:paraId="2223C5A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affected person must satisfy the following conditions, as applicable:</w:t>
      </w:r>
    </w:p>
    <w:p w14:paraId="5162A0C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if the affected person has outstanding, rated, general obligation bonds that are not secured by insurance, a letter of credit, or other collateral or guarantee, he must have a current rating of Aaa, Aa, A, or Baa, as issued by Moody's, or AAA, AA, A, or BBB, as issued by Standard and Poor's, on all such general obligation bonds; or</w:t>
      </w:r>
    </w:p>
    <w:p w14:paraId="4FBF284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the affected person must have a ratio of cash plus marketable securities to total expenditures greater than or equal to 0.05 and a ratio of annual debt service to total expenditures less than or equal to 0.20 based on the affected person's most recent audited annual financial statement.</w:t>
      </w:r>
    </w:p>
    <w:p w14:paraId="7379A6F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affected person must prepare its financial statements in conformity with Generally Accepted Accounting Principles for governments and have the financial statements audited by an independent certified public accountant (or appropriate state agency).</w:t>
      </w:r>
    </w:p>
    <w:p w14:paraId="1D06B31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A local government is not eligible to assure its obligations under this Subparagraph if it:</w:t>
      </w:r>
    </w:p>
    <w:p w14:paraId="251121B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 xml:space="preserve">is currently in default on any outstanding general obligation bonds; </w:t>
      </w:r>
    </w:p>
    <w:p w14:paraId="1D484C3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has any outstanding general obligation bonds rated lower than Baa as issued by Moody's or BBB as issued by Standard and Poor's;</w:t>
      </w:r>
    </w:p>
    <w:p w14:paraId="799FC94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operated at a deficit equal to 5 percent or more of total annual revenue in each of the past two fiscal years; or</w:t>
      </w:r>
    </w:p>
    <w:p w14:paraId="01FA25C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receives an adverse opinion, disclaimer of opinion, or other qualified opinion from the independent certified public accountant (or appropriate state agency) auditing its financial statement as required under Subclause E.2.i.i.(b) of this Section. The administrative authority may evaluate qualified opinions on a case-by-case basis and allow use of the financial test in cases where the administrative authority deems the qualification insufficient to warrant disallowance of use of the test.</w:t>
      </w:r>
    </w:p>
    <w:p w14:paraId="748718F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The following terms used in this Paragraph are defined as follows.</w:t>
      </w:r>
    </w:p>
    <w:p w14:paraId="7DD6340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Deficit—total annual revenues minus total annual expenditures.</w:t>
      </w:r>
    </w:p>
    <w:p w14:paraId="1D97794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Total Revenues—revenues from all taxes and fees, but not including the proceeds from borrowing or asset sales, excluding revenue from funds managed by local government on behalf of a specific third party.</w:t>
      </w:r>
    </w:p>
    <w:p w14:paraId="5713F58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Total Expenditures—all expenditures, excluding capital outlays and debt repayment.</w:t>
      </w:r>
    </w:p>
    <w:p w14:paraId="33BE1A8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Cash Plus Marketable Securities—all the cash plus marketable securities held by the local government on the last day of a fiscal year, excluding cash and marketable securities designated to satisfy past obligations such as pensions.</w:t>
      </w:r>
    </w:p>
    <w:p w14:paraId="1F0B62A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(v).</w:t>
      </w:r>
      <w:r w:rsidRPr="00326E64">
        <w:rPr>
          <w:rFonts w:ascii="Times New Roman" w:eastAsia="Calibri" w:hAnsi="Times New Roman" w:cs="Times New Roman"/>
          <w:strike/>
        </w:rPr>
        <w:tab/>
        <w:t>Debt Service—the amount of principal and interest due on a loan in a given time period, typically the current year.</w:t>
      </w:r>
    </w:p>
    <w:p w14:paraId="12D4D62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Public Notice Component. The local government affected person must place a reference to the closure costs assured through the financial test into its next comprehensive annual financial report (CAFR) after the effective date of this Section or prior to the initial receipt of sewage sludge, other feedstock, or supplements at the facility, whichever is later. Disclosure must include the nature and source of closure requirements, the reported liability at the balance sheet date, and the estimated total closure cost remaining to be recognized. For closure costs, conformance with Governmental Accounting Standards Board Statement 18 assures compliance with this public notice component.</w:t>
      </w:r>
    </w:p>
    <w:p w14:paraId="0A2820B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Recordkeeping and Reporting Requirements</w:t>
      </w:r>
    </w:p>
    <w:p w14:paraId="407C973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local government affected person must place the following items in the facility's operating record:</w:t>
      </w:r>
    </w:p>
    <w:p w14:paraId="06C2582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a letter signed by the local government's chief financial officer that lists all the current cost estimates covered by a financial test, as described in Clause E.2.i.iv of this Section. It must provide evidence that the local government meets the conditions of Subclauses E.2.i.i.(a)-(c) of this Section, and certify that the local government meets the conditions of Subclauses E.2.i.i.(a)-(c) and Clauses E.2.i.ii and iv of this Section;</w:t>
      </w:r>
    </w:p>
    <w:p w14:paraId="68BB851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 xml:space="preserve">the local government's independently audited year-end financial statements for the latest fiscal year (except for local governments where audits are required every two years, and unaudited statements may be used in years when audits are not required), including the unqualified opinion of the auditor, who must be an </w:t>
      </w:r>
      <w:r w:rsidRPr="00326E64">
        <w:rPr>
          <w:rFonts w:ascii="Times New Roman" w:eastAsia="Calibri" w:hAnsi="Times New Roman" w:cs="Times New Roman"/>
          <w:strike/>
        </w:rPr>
        <w:lastRenderedPageBreak/>
        <w:t>independent certified public accountant or an appropriate state agency that conducts equivalent comprehensive audits;</w:t>
      </w:r>
    </w:p>
    <w:p w14:paraId="7CEE79E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a report to the local government from the local government's independent certified public accountant or the appropriate state agency based on performing an agreed-upon procedures engagement relative to the financial ratios required by Division E.2.i.i.(a).(i) of this Section, if applicable, and the requirements of Subclause E.2.i.i.(b) and Divisions E.2.i.i.(c).(i)-(iv) of this Section. The report by the certified public accountant or state agency should state the procedures performed and the findings of the certified public accountant or state agency; and</w:t>
      </w:r>
    </w:p>
    <w:p w14:paraId="63C89BD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a copy of the comprehensive annual financial report (CAFR) used to comply with Clause E.2.i.ii of this Section (certification that the requirements of General Accounting Standards Board Statement 18 have been met).</w:t>
      </w:r>
    </w:p>
    <w:p w14:paraId="220F750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items required in Subclause E.2.i.iii.(a) of this Section must be placed in the facility operating record, in the case of closure, either before the effective date of this Section or prior to the initial receipt of sewage sludge, other feedstock, or supplements at the facility, whichever is later.</w:t>
      </w:r>
    </w:p>
    <w:p w14:paraId="460952E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After the initial placement of the items in the facility's operating record, the local government affected person must update the information and place the updated information in the operating record within 180 days following the close of the affected person's fiscal year.</w:t>
      </w:r>
    </w:p>
    <w:p w14:paraId="6EBF2F9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The local government affected person is no longer required to meet the requirements of Subclause E 2.i.iii.(c) of this Section when:</w:t>
      </w:r>
    </w:p>
    <w:p w14:paraId="379126A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affected person substitutes alternate financial assurance, as specified in this Section; or</w:t>
      </w:r>
    </w:p>
    <w:p w14:paraId="5685492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the affected person is released from the requirement of maintaining financial assurance in accordance with this Section.</w:t>
      </w:r>
    </w:p>
    <w:p w14:paraId="525477F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A local government must satisfy the requirements of the financial test at the close of each fiscal year. If the local government affected person no longer meets the requirements of the local government financial test, it must, within 210 days following the close of the affected person's fiscal year, obtain alternative financial assurance that meets the requirements of this Section, place the required submissions for that assurance in the operating record, and notify the Office of Environmental Services that the affected person no longer meets the criteria of the financial test and that alternate assurance has been obtained.</w:t>
      </w:r>
    </w:p>
    <w:p w14:paraId="0D8B494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(f).</w:t>
      </w:r>
      <w:r w:rsidRPr="00326E64">
        <w:rPr>
          <w:rFonts w:ascii="Times New Roman" w:eastAsia="Calibri" w:hAnsi="Times New Roman" w:cs="Times New Roman"/>
          <w:strike/>
        </w:rPr>
        <w:tab/>
        <w:t>The administrative authority, based on a reasonable belief that the local government affected person may no longer meet the requirements of the local government financial test, may require additional reports of financial condition from the local government at any time. If the administrative authority finds, on the basis of such reports or other information, that the affected person no longer meets the local government financial test, the local government must provide alternate financial assurance in accordance with this Section.</w:t>
      </w:r>
    </w:p>
    <w:p w14:paraId="3386D6A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Calculation of Costs to be Assured. The portion of the closure and corrective action costs that a local government affected person can assure under Subparagraph E.2.i of this Section is determined as follows:</w:t>
      </w:r>
    </w:p>
    <w:p w14:paraId="56E57E7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 xml:space="preserve">if the local government affected person does not assure other environmental obligations through a financial test, it may assure closure and </w:t>
      </w:r>
      <w:r w:rsidRPr="00326E64">
        <w:rPr>
          <w:rFonts w:ascii="Times New Roman" w:eastAsia="Calibri" w:hAnsi="Times New Roman" w:cs="Times New Roman"/>
          <w:strike/>
        </w:rPr>
        <w:lastRenderedPageBreak/>
        <w:t>corrective action costs that equal up to 43 percent of the local government's total annual revenue; or</w:t>
      </w:r>
    </w:p>
    <w:p w14:paraId="3D306A4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if the local government assures other environmental obligations through a financial test, including those associated with underground injection control (UIC) facilities under 40 CFR 144.62, petroleum underground storage tank facilities under 40 CFR Part 280, PCB storage facilities under 40 CFR Part 761, or hazardous waste treatment, storage, and disposal facilities under 40 CFR Parts 264 and 265, or any applicable corresponding state program, it must add those costs to the closure and corrective action costs it seeks to assure under this Subparagraph, and the total that may be assured must not exceed 43 percent of the local government's total annual revenue; and</w:t>
      </w:r>
    </w:p>
    <w:p w14:paraId="0568F1B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the affected person must obtain an alternate financial assurance instrument for those costs that exceed the limits set in this Clause.</w:t>
      </w:r>
    </w:p>
    <w:p w14:paraId="260ECD5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j.</w:t>
      </w:r>
      <w:r w:rsidRPr="00326E64">
        <w:rPr>
          <w:rFonts w:ascii="Times New Roman" w:eastAsia="Calibri" w:hAnsi="Times New Roman" w:cs="Times New Roman"/>
          <w:strike/>
        </w:rPr>
        <w:tab/>
        <w:t>Local Government Guarantee. An affected person may demonstrate financial assurance for closure, as required by this Section, by obtaining a written guarantee provided by a local government. The guarantor must meet the requirements of the local government financial test in Subparagraph E.2.i of this Section, and must comply with the terms of a written guarantee.</w:t>
      </w:r>
    </w:p>
    <w:p w14:paraId="20E8F2E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Terms of the Written Guarantee. The guarantee must be effective before the initial receipt of sewage sludge, other material, feedstock, or supplements or before the effective date of this Section, whichever is later, in the case of closure. The guarantee must provide that:</w:t>
      </w:r>
    </w:p>
    <w:p w14:paraId="23BB4F6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if the affected person fails to perform closure of a facility covered by the guarantee, the guarantor will:</w:t>
      </w:r>
    </w:p>
    <w:p w14:paraId="63E1E0D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perform closure, or pay a third party to perform closure; or</w:t>
      </w:r>
    </w:p>
    <w:p w14:paraId="6B7B30F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establish a fully funded trust fund as specified in Subparagraph E.2.c of this Section in the name of the affected person; and</w:t>
      </w:r>
    </w:p>
    <w:p w14:paraId="7012F2B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guarantee will remain in force unless the guarantor sends notice of cancellation by certified mail to the affected person and to the Office of Environmental Services. Cancellation may not occur, however, during the 120 days beginning on the date of receipt of the notice of cancellation by both the affected person and the administrative authority, as evidenced by the return receipts. If a guarantee is canceled, the affected person must, within 90 days following receipt of the cancellation notice by the affected person and the administrative authority, obtain alternate financial assurance, place evidence of that alternate financial assurance in the facility operating record, and notify the Office of Environmental Services. If the affected person fails to provide alternate financial assurance within the 90-day period, then the guarantor must provide that alternate assurance within 120 days following the guarantor's notice of cancellation, place evidence of the alternate assurance in the facility operating record, and notify the Office of Environmental Services.</w:t>
      </w:r>
    </w:p>
    <w:p w14:paraId="21F60EC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Recordkeeping and Reporting</w:t>
      </w:r>
    </w:p>
    <w:p w14:paraId="77A0C57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affected person must place a certified copy of the guarantee, along with the items required under Clause E.2.i.iii of this Section, into the facility's operating record before the initial receipt of sewage sludge, other material, feedstock, or supplements or before the effective date of this Section, whichever is later.</w:t>
      </w:r>
    </w:p>
    <w:p w14:paraId="6DC4981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affected person is no longer required to maintain the items specified in Subclause E.2.j.ii.(a) of this Section when:</w:t>
      </w:r>
    </w:p>
    <w:p w14:paraId="2A0C4C6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affected person substitutes alternate financial assurance as specified in this Section; or</w:t>
      </w:r>
    </w:p>
    <w:p w14:paraId="34DBEA5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the affected person is released from the requirement of maintaining financial assurance in accordance with this Section.</w:t>
      </w:r>
    </w:p>
    <w:p w14:paraId="73BA5DD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If a local government guarantor no longer meets the requirements of Subparagraph E.2.i of this Section, the affected person must, within 90 days, obtain alternate assurance, place evidence of the alternate assurance in the facility operating record, and notify the Office of Environmental Services. If the affected person fails to obtain alternate financial assurance within that 90-day period, the guarantor must provide that alternate assurance within the next 30 days.</w:t>
      </w:r>
    </w:p>
    <w:p w14:paraId="4FAF684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k.</w:t>
      </w:r>
      <w:r w:rsidRPr="00326E64">
        <w:rPr>
          <w:rFonts w:ascii="Times New Roman" w:eastAsia="Calibri" w:hAnsi="Times New Roman" w:cs="Times New Roman"/>
          <w:strike/>
        </w:rPr>
        <w:tab/>
        <w:t>Use of Multiple Instruments. An affected person may demonstrate financial assurance for closure and corrective action, as required by this Section, by establishing more than one financial mechanism per facility, except that instruments guaranteeing performance, rather than payment, may not be combined with other instruments. The instruments must be as specified in Subparagraphs E.2.c-h of this Section, except that financial assurance for an amount at least equal to the current cost estimate for closure and/or corrective action may be provided by a combination of instruments, rather than a single mechanism.</w:t>
      </w:r>
    </w:p>
    <w:p w14:paraId="173F93C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l.</w:t>
      </w:r>
      <w:r w:rsidRPr="00326E64">
        <w:rPr>
          <w:rFonts w:ascii="Times New Roman" w:eastAsia="Calibri" w:hAnsi="Times New Roman" w:cs="Times New Roman"/>
          <w:strike/>
        </w:rPr>
        <w:tab/>
        <w:t>Discounting. The administrative authority may allow discounting of closure cost estimates in this Subsection up to the rate of return for essentially risk-free investments, net of inflation, under the following conditions:</w:t>
      </w:r>
    </w:p>
    <w:p w14:paraId="7D141C8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administrative authority determines that cost estimates are complete and accurate and the affected person has submitted a statement from a registered professional engineer to the Office of Environmental Services so stating;</w:t>
      </w:r>
    </w:p>
    <w:p w14:paraId="0797DAA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the state finds the facility in compliance with applicable and appropriate permit conditions;</w:t>
      </w:r>
    </w:p>
    <w:p w14:paraId="67AB667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the administrative authority determines that the closure date is certain and the affected person certifies that there are no foreseeable factors that will change the estimate of site life; and</w:t>
      </w:r>
    </w:p>
    <w:p w14:paraId="3586FFD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iv.</w:t>
      </w:r>
      <w:r w:rsidRPr="00326E64">
        <w:rPr>
          <w:rFonts w:ascii="Times New Roman" w:eastAsia="Calibri" w:hAnsi="Times New Roman" w:cs="Times New Roman"/>
          <w:strike/>
        </w:rPr>
        <w:tab/>
        <w:t>discounted cost estimates are adjusted annually to reflect inflation and years of remaining life.</w:t>
      </w:r>
    </w:p>
    <w:p w14:paraId="171159F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F.</w:t>
      </w:r>
      <w:r w:rsidRPr="00326E64">
        <w:rPr>
          <w:rFonts w:ascii="Times New Roman" w:eastAsia="Calibri" w:hAnsi="Times New Roman" w:cs="Times New Roman"/>
          <w:strike/>
        </w:rPr>
        <w:tab/>
        <w:t>Incapacity of Affected Persons, Guarantors, or Financial Institutions</w:t>
      </w:r>
    </w:p>
    <w:p w14:paraId="0FB5D69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All affected persons subject to this Section must notify the Office of Environmental Services by certified mail of the commencement of a voluntary or involuntary proceeding under Title 11 (Bankruptcy), U.S. Code, naming the affected person as debtor, within 10 days after commencement of the proceeding. A guarantor of a corporate guarantee as specified in Subparagraph D.1.d or Clause E.2.h.ix of this Section must make such a notification if he is named as debtor, as required under the terms of the corporate guarantee set forth in LAC 33:IX.7395.Appendix J.</w:t>
      </w:r>
    </w:p>
    <w:p w14:paraId="4DF6219E"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An affected person who fulfills the requirements of Subsection D or E of this Section by obtaining a trust fund, surety bond, letter of credit, or insurance policy will be deemed to be without the required financial assurance or liability coverage in the event of bankruptcy of the trustee or issuing institution, or a suspension or revocation of the authority of the trustee institution to act as trustee or of the institution issuing the surety bond, letter of credit, or insurance policy to issue such instruments. The affected person must establish other financial assurance or liability coverage within 60 days after such an event.</w:t>
      </w:r>
    </w:p>
    <w:p w14:paraId="76747E2A"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AUTHORITY NOTE:</w:t>
      </w:r>
      <w:r w:rsidRPr="00326E64">
        <w:rPr>
          <w:rFonts w:ascii="Times New Roman" w:eastAsia="Calibri" w:hAnsi="Times New Roman" w:cs="Times New Roman"/>
        </w:rPr>
        <w:tab/>
        <w:t>Promulgated in accordance with R.S. 30:2074(B)(1)(c) and (B)(3)(e).</w:t>
      </w:r>
    </w:p>
    <w:p w14:paraId="6E19144E"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lastRenderedPageBreak/>
        <w:tab/>
        <w:t>HISTORICAL NOTE:</w:t>
      </w:r>
      <w:r w:rsidRPr="00326E64">
        <w:rPr>
          <w:rFonts w:ascii="Times New Roman" w:eastAsia="Calibri" w:hAnsi="Times New Roman" w:cs="Times New Roman"/>
        </w:rPr>
        <w:tab/>
        <w:t>Promulgated by the Department of Environmental Quality, Office of Environmental Assessment, Environmental Planning Division, LR 28:796 (April 2002), repromulgated LR 30:233 (February 2004), amended by the Office of the Secretary, Legal Affairs Division, LR 31:2516 (October 2005), LR 33:2386 (November 2007), LR 35:931 (May 2009), LR 37:2995 (October 2011), repealed by the Office of the Secretary, Legal Affairs Division, LR 51:</w:t>
      </w:r>
    </w:p>
    <w:p w14:paraId="532CE8B3" w14:textId="77777777" w:rsidR="00326E64" w:rsidRPr="00326E64" w:rsidRDefault="00326E64" w:rsidP="00326E64">
      <w:pPr>
        <w:tabs>
          <w:tab w:val="left" w:pos="288"/>
        </w:tabs>
        <w:rPr>
          <w:rFonts w:ascii="Times New Roman" w:eastAsia="Calibri" w:hAnsi="Times New Roman" w:cs="Times New Roman"/>
        </w:rPr>
      </w:pPr>
    </w:p>
    <w:bookmarkEnd w:id="15"/>
    <w:bookmarkEnd w:id="16"/>
    <w:p w14:paraId="7CE7F84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b/>
        </w:rPr>
        <w:t>§7309.</w:t>
      </w:r>
      <w:r w:rsidRPr="00326E64">
        <w:rPr>
          <w:rFonts w:ascii="Times New Roman" w:eastAsia="Calibri" w:hAnsi="Times New Roman" w:cs="Times New Roman"/>
          <w:b/>
        </w:rPr>
        <w:tab/>
        <w:t xml:space="preserve">Pathogens and Vector Attraction Reduction </w:t>
      </w:r>
      <w:r w:rsidRPr="00326E64">
        <w:rPr>
          <w:rFonts w:ascii="Times New Roman" w:eastAsia="Calibri" w:hAnsi="Times New Roman" w:cs="Times New Roman"/>
          <w:b/>
          <w:strike/>
        </w:rPr>
        <w:t>[Formerly §6909]</w:t>
      </w:r>
    </w:p>
    <w:p w14:paraId="6A2DF45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t>A. — B.</w:t>
      </w:r>
      <w:r w:rsidRPr="00326E64">
        <w:rPr>
          <w:rFonts w:ascii="Times New Roman" w:eastAsia="Calibri" w:hAnsi="Times New Roman" w:cs="Times New Roman"/>
        </w:rPr>
        <w:tab/>
        <w:t>…</w:t>
      </w:r>
    </w:p>
    <w:p w14:paraId="0004BC27" w14:textId="77777777" w:rsidR="00326E64" w:rsidRPr="00326E64" w:rsidRDefault="00326E64" w:rsidP="00326E64">
      <w:pPr>
        <w:spacing w:line="480" w:lineRule="auto"/>
        <w:jc w:val="center"/>
        <w:rPr>
          <w:rFonts w:ascii="Times New Roman" w:eastAsia="Calibri" w:hAnsi="Times New Roman" w:cs="Times New Roman"/>
        </w:rPr>
      </w:pPr>
      <w:r w:rsidRPr="00326E64">
        <w:rPr>
          <w:rFonts w:ascii="Times New Roman" w:eastAsia="Calibri" w:hAnsi="Times New Roman" w:cs="Times New Roman"/>
        </w:rPr>
        <w:t>* * *</w:t>
      </w:r>
    </w:p>
    <w:p w14:paraId="50B2DD43"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t>C.</w:t>
      </w:r>
      <w:r w:rsidRPr="00326E64">
        <w:rPr>
          <w:rFonts w:ascii="Times New Roman" w:eastAsia="Calibri" w:hAnsi="Times New Roman" w:cs="Times New Roman"/>
        </w:rPr>
        <w:tab/>
        <w:t>Pathogens</w:t>
      </w:r>
    </w:p>
    <w:p w14:paraId="78DF3CE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1.</w:t>
      </w:r>
      <w:r w:rsidRPr="00326E64">
        <w:rPr>
          <w:rFonts w:ascii="Times New Roman" w:eastAsia="Calibri" w:hAnsi="Times New Roman" w:cs="Times New Roman"/>
        </w:rPr>
        <w:tab/>
        <w:t>Exceptional Quality Biosolids</w:t>
      </w:r>
    </w:p>
    <w:p w14:paraId="2730C21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The requirement</w:t>
      </w:r>
      <w:r w:rsidRPr="00326E64">
        <w:rPr>
          <w:rFonts w:ascii="Times New Roman" w:eastAsia="Calibri" w:hAnsi="Times New Roman" w:cs="Times New Roman"/>
          <w:u w:val="single"/>
        </w:rPr>
        <w:t>s</w:t>
      </w:r>
      <w:r w:rsidRPr="00326E64">
        <w:rPr>
          <w:rFonts w:ascii="Times New Roman" w:eastAsia="Calibri" w:hAnsi="Times New Roman" w:cs="Times New Roman"/>
        </w:rPr>
        <w:t xml:space="preserve"> in Subparagraph C.1.b</w:t>
      </w:r>
      <w:r w:rsidRPr="00326E64">
        <w:rPr>
          <w:rFonts w:ascii="Times New Roman" w:eastAsia="Calibri" w:hAnsi="Times New Roman" w:cs="Times New Roman"/>
          <w:u w:val="single"/>
        </w:rPr>
        <w:t>-h</w:t>
      </w:r>
      <w:r w:rsidRPr="00326E64">
        <w:rPr>
          <w:rFonts w:ascii="Times New Roman" w:eastAsia="Calibri" w:hAnsi="Times New Roman" w:cs="Times New Roman"/>
        </w:rPr>
        <w:t xml:space="preserve"> of this Section</w:t>
      </w:r>
      <w:r w:rsidRPr="00326E64">
        <w:rPr>
          <w:rFonts w:ascii="Times New Roman" w:eastAsia="Calibri" w:hAnsi="Times New Roman" w:cs="Times New Roman"/>
          <w:strike/>
        </w:rPr>
        <w:t>, and the requirements in Subparagraph C.1.c, d, e, f, g, or-h of this Section,</w:t>
      </w:r>
      <w:r w:rsidRPr="00326E64">
        <w:rPr>
          <w:rFonts w:ascii="Times New Roman" w:eastAsia="Calibri" w:hAnsi="Times New Roman" w:cs="Times New Roman"/>
        </w:rPr>
        <w:t xml:space="preserve"> </w:t>
      </w:r>
      <w:r w:rsidRPr="00326E64">
        <w:rPr>
          <w:rFonts w:ascii="Times New Roman" w:eastAsia="Calibri" w:hAnsi="Times New Roman" w:cs="Times New Roman"/>
          <w:strike/>
        </w:rPr>
        <w:t>must</w:t>
      </w:r>
      <w:r w:rsidRPr="00326E64">
        <w:rPr>
          <w:rFonts w:ascii="Times New Roman" w:eastAsia="Calibri" w:hAnsi="Times New Roman" w:cs="Times New Roman"/>
          <w:u w:val="single"/>
        </w:rPr>
        <w:t>shall</w:t>
      </w:r>
      <w:r w:rsidRPr="00326E64">
        <w:rPr>
          <w:rFonts w:ascii="Times New Roman" w:eastAsia="Calibri" w:hAnsi="Times New Roman" w:cs="Times New Roman"/>
        </w:rPr>
        <w:t xml:space="preserve"> be met for biosolids classified as Exceptional Quality biosolids with respect to pathogens.</w:t>
      </w:r>
    </w:p>
    <w:p w14:paraId="1492A12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 xml:space="preserve">The Exceptional Quality biosolids pathogen requirements in Subparagraphs C.1.c-h of this Section </w:t>
      </w:r>
      <w:r w:rsidRPr="00326E64">
        <w:rPr>
          <w:rFonts w:ascii="Times New Roman" w:eastAsia="Calibri" w:hAnsi="Times New Roman" w:cs="Times New Roman"/>
          <w:strike/>
        </w:rPr>
        <w:t>must</w:t>
      </w:r>
      <w:r w:rsidRPr="00326E64">
        <w:rPr>
          <w:rFonts w:ascii="Times New Roman" w:eastAsia="Calibri" w:hAnsi="Times New Roman" w:cs="Times New Roman"/>
          <w:u w:val="single"/>
        </w:rPr>
        <w:t>shall</w:t>
      </w:r>
      <w:r w:rsidRPr="00326E64">
        <w:rPr>
          <w:rFonts w:ascii="Times New Roman" w:eastAsia="Calibri" w:hAnsi="Times New Roman" w:cs="Times New Roman"/>
        </w:rPr>
        <w:t xml:space="preserve"> be met either prior to meeting or at the same time that the vector attraction reduction requirements in Subsection </w:t>
      </w:r>
      <w:r w:rsidRPr="00326E64">
        <w:rPr>
          <w:rFonts w:ascii="Times New Roman" w:eastAsia="Calibri" w:hAnsi="Times New Roman" w:cs="Times New Roman"/>
          <w:u w:val="single"/>
        </w:rPr>
        <w:t>E</w:t>
      </w:r>
      <w:r w:rsidRPr="00326E64">
        <w:rPr>
          <w:rFonts w:ascii="Times New Roman" w:eastAsia="Calibri" w:hAnsi="Times New Roman" w:cs="Times New Roman"/>
          <w:strike/>
        </w:rPr>
        <w:t>D</w:t>
      </w:r>
      <w:r w:rsidRPr="00326E64">
        <w:rPr>
          <w:rFonts w:ascii="Times New Roman" w:eastAsia="Calibri" w:hAnsi="Times New Roman" w:cs="Times New Roman"/>
        </w:rPr>
        <w:t xml:space="preserve"> of this Section, except the vector attraction reduction requirements in Subparagraphs </w:t>
      </w:r>
      <w:r w:rsidRPr="00326E64">
        <w:rPr>
          <w:rFonts w:ascii="Times New Roman" w:eastAsia="Calibri" w:hAnsi="Times New Roman" w:cs="Times New Roman"/>
          <w:u w:val="single"/>
        </w:rPr>
        <w:t>E</w:t>
      </w:r>
      <w:r w:rsidRPr="00326E64">
        <w:rPr>
          <w:rFonts w:ascii="Times New Roman" w:eastAsia="Calibri" w:hAnsi="Times New Roman" w:cs="Times New Roman"/>
          <w:strike/>
        </w:rPr>
        <w:t>D</w:t>
      </w:r>
      <w:r w:rsidRPr="00326E64">
        <w:rPr>
          <w:rFonts w:ascii="Times New Roman" w:eastAsia="Calibri" w:hAnsi="Times New Roman" w:cs="Times New Roman"/>
        </w:rPr>
        <w:t>.2.d-e.ii of this Section, are met.</w:t>
      </w:r>
    </w:p>
    <w:p w14:paraId="583E3DB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c.</w:t>
      </w:r>
      <w:r w:rsidRPr="00326E64">
        <w:rPr>
          <w:rFonts w:ascii="Times New Roman" w:eastAsia="Calibri" w:hAnsi="Times New Roman" w:cs="Times New Roman"/>
        </w:rPr>
        <w:tab/>
        <w:t>Exceptional Quality Biosolids―Alternative 1</w:t>
      </w:r>
    </w:p>
    <w:p w14:paraId="66D2BE2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 xml:space="preserve">Either the density of fecal coliform in the biosolids shall be less than 1000 Most Probable Number </w:t>
      </w:r>
      <w:r w:rsidRPr="00326E64">
        <w:rPr>
          <w:rFonts w:ascii="Times New Roman" w:eastAsia="Calibri" w:hAnsi="Times New Roman" w:cs="Times New Roman"/>
          <w:u w:val="single"/>
        </w:rPr>
        <w:t xml:space="preserve">(MPN) </w:t>
      </w:r>
      <w:r w:rsidRPr="00326E64">
        <w:rPr>
          <w:rFonts w:ascii="Times New Roman" w:eastAsia="Calibri" w:hAnsi="Times New Roman" w:cs="Times New Roman"/>
        </w:rPr>
        <w:t xml:space="preserve">per gram of total solids (dry weight basis), or the density of </w:t>
      </w:r>
      <w:r w:rsidRPr="00326E64">
        <w:rPr>
          <w:rFonts w:ascii="Times New Roman" w:eastAsia="Calibri" w:hAnsi="Times New Roman" w:cs="Times New Roman"/>
          <w:i/>
        </w:rPr>
        <w:t>Salmonella sp</w:t>
      </w:r>
      <w:r w:rsidRPr="00326E64">
        <w:rPr>
          <w:rFonts w:ascii="Times New Roman" w:eastAsia="Calibri" w:hAnsi="Times New Roman" w:cs="Times New Roman"/>
        </w:rPr>
        <w:t xml:space="preserve">. bacteria in the biosolids shall be less than 3 Most Probable Number </w:t>
      </w:r>
      <w:r w:rsidRPr="00326E64">
        <w:rPr>
          <w:rFonts w:ascii="Times New Roman" w:eastAsia="Calibri" w:hAnsi="Times New Roman" w:cs="Times New Roman"/>
          <w:u w:val="single"/>
        </w:rPr>
        <w:t xml:space="preserve">(MPN) </w:t>
      </w:r>
      <w:r w:rsidRPr="00326E64">
        <w:rPr>
          <w:rFonts w:ascii="Times New Roman" w:eastAsia="Calibri" w:hAnsi="Times New Roman" w:cs="Times New Roman"/>
        </w:rPr>
        <w:t xml:space="preserve">per 4 grams of total solids (dry weight basis) at the time the biosolids are used or disposed, at the time the biosolids are prepared for sale or to be given away in a bag or other container for application to the land, or at the time the sewage sludge or material derived from </w:t>
      </w:r>
      <w:r w:rsidRPr="00326E64">
        <w:rPr>
          <w:rFonts w:ascii="Times New Roman" w:eastAsia="Calibri" w:hAnsi="Times New Roman" w:cs="Times New Roman"/>
        </w:rPr>
        <w:lastRenderedPageBreak/>
        <w:t xml:space="preserve">sewage sludge is prepared to meet the requirements of </w:t>
      </w:r>
      <w:r w:rsidRPr="00326E64">
        <w:rPr>
          <w:rFonts w:ascii="Times New Roman" w:eastAsia="Calibri" w:hAnsi="Times New Roman" w:cs="Times New Roman"/>
          <w:i/>
        </w:rPr>
        <w:t>Exceptional Quality biosolids</w:t>
      </w:r>
      <w:r w:rsidRPr="00326E64">
        <w:rPr>
          <w:rFonts w:ascii="Times New Roman" w:eastAsia="Calibri" w:hAnsi="Times New Roman" w:cs="Times New Roman"/>
        </w:rPr>
        <w:t>, as defined in LAC 33:IX.7301.B.</w:t>
      </w:r>
    </w:p>
    <w:p w14:paraId="3DD5666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 — ii.(d).</w:t>
      </w:r>
      <w:r w:rsidRPr="00326E64">
        <w:rPr>
          <w:rFonts w:ascii="Times New Roman" w:eastAsia="Calibri" w:hAnsi="Times New Roman" w:cs="Times New Roman"/>
        </w:rPr>
        <w:tab/>
        <w:t>…</w:t>
      </w:r>
    </w:p>
    <w:p w14:paraId="3EC6A33C" w14:textId="77777777" w:rsidR="00326E64" w:rsidRPr="00326E64" w:rsidRDefault="00326E64" w:rsidP="00326E64">
      <w:pPr>
        <w:spacing w:line="480" w:lineRule="auto"/>
        <w:jc w:val="center"/>
        <w:rPr>
          <w:rFonts w:ascii="Times New Roman" w:eastAsia="Calibri" w:hAnsi="Times New Roman" w:cs="Times New Roman"/>
        </w:rPr>
      </w:pPr>
      <w:r w:rsidRPr="00326E64">
        <w:rPr>
          <w:rFonts w:ascii="Times New Roman" w:eastAsia="Calibri" w:hAnsi="Times New Roman" w:cs="Times New Roman"/>
        </w:rPr>
        <w:t>* * *</w:t>
      </w:r>
    </w:p>
    <w:p w14:paraId="65710D83"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d.</w:t>
      </w:r>
      <w:r w:rsidRPr="00326E64">
        <w:rPr>
          <w:rFonts w:ascii="Times New Roman" w:eastAsia="Calibri" w:hAnsi="Times New Roman" w:cs="Times New Roman"/>
        </w:rPr>
        <w:tab/>
        <w:t>Exceptional Quality Biosolids—Alternative 2</w:t>
      </w:r>
    </w:p>
    <w:p w14:paraId="3D2036D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 xml:space="preserve">Either the density of fecal coliform in the biosolids shall be less than 1000 Most Probable Number </w:t>
      </w:r>
      <w:r w:rsidRPr="00326E64">
        <w:rPr>
          <w:rFonts w:ascii="Times New Roman" w:eastAsia="Calibri" w:hAnsi="Times New Roman" w:cs="Times New Roman"/>
          <w:u w:val="single"/>
        </w:rPr>
        <w:t xml:space="preserve">(MPN) </w:t>
      </w:r>
      <w:r w:rsidRPr="00326E64">
        <w:rPr>
          <w:rFonts w:ascii="Times New Roman" w:eastAsia="Calibri" w:hAnsi="Times New Roman" w:cs="Times New Roman"/>
        </w:rPr>
        <w:t xml:space="preserve">per gram of total solids (dry weight basis), or the density of </w:t>
      </w:r>
      <w:r w:rsidRPr="00326E64">
        <w:rPr>
          <w:rFonts w:ascii="Times New Roman" w:eastAsia="Calibri" w:hAnsi="Times New Roman" w:cs="Times New Roman"/>
          <w:i/>
        </w:rPr>
        <w:t>Salmonella sp</w:t>
      </w:r>
      <w:r w:rsidRPr="00326E64">
        <w:rPr>
          <w:rFonts w:ascii="Times New Roman" w:eastAsia="Calibri" w:hAnsi="Times New Roman" w:cs="Times New Roman"/>
        </w:rPr>
        <w:t xml:space="preserve">. bacteria in the biosolids shall be less than 3 Most Probable Number </w:t>
      </w:r>
      <w:r w:rsidRPr="00326E64">
        <w:rPr>
          <w:rFonts w:ascii="Times New Roman" w:eastAsia="Calibri" w:hAnsi="Times New Roman" w:cs="Times New Roman"/>
          <w:u w:val="single"/>
        </w:rPr>
        <w:t xml:space="preserve">(MPN) </w:t>
      </w:r>
      <w:r w:rsidRPr="00326E64">
        <w:rPr>
          <w:rFonts w:ascii="Times New Roman" w:eastAsia="Calibri" w:hAnsi="Times New Roman" w:cs="Times New Roman"/>
        </w:rPr>
        <w:t xml:space="preserve">per 4 grams of total solids (dry weight basis) at the time the biosolids are used or disposed, at the time the biosolids are prepared for sale or to be given away in a bag or other container for application to the land, or at the time the sewage sludge or material derived from sewage sludge is prepared to meet the requirements of </w:t>
      </w:r>
      <w:r w:rsidRPr="00326E64">
        <w:rPr>
          <w:rFonts w:ascii="Times New Roman" w:eastAsia="Calibri" w:hAnsi="Times New Roman" w:cs="Times New Roman"/>
          <w:i/>
        </w:rPr>
        <w:t>Exceptional Quality biosolids</w:t>
      </w:r>
      <w:r w:rsidRPr="00326E64">
        <w:rPr>
          <w:rFonts w:ascii="Times New Roman" w:eastAsia="Calibri" w:hAnsi="Times New Roman" w:cs="Times New Roman"/>
        </w:rPr>
        <w:t>, as defined in LAC 33:IX.7301.B.</w:t>
      </w:r>
    </w:p>
    <w:p w14:paraId="17E42D7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 — ii.(c).</w:t>
      </w:r>
      <w:r w:rsidRPr="00326E64">
        <w:rPr>
          <w:rFonts w:ascii="Times New Roman" w:eastAsia="Calibri" w:hAnsi="Times New Roman" w:cs="Times New Roman"/>
        </w:rPr>
        <w:tab/>
        <w:t>…</w:t>
      </w:r>
    </w:p>
    <w:p w14:paraId="27B229B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e.</w:t>
      </w:r>
      <w:r w:rsidRPr="00326E64">
        <w:rPr>
          <w:rFonts w:ascii="Times New Roman" w:eastAsia="Calibri" w:hAnsi="Times New Roman" w:cs="Times New Roman"/>
        </w:rPr>
        <w:tab/>
        <w:t>Exceptional Quality Biosolids—Alternative 3</w:t>
      </w:r>
    </w:p>
    <w:p w14:paraId="78F8383C"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 xml:space="preserve">Either the density of fecal coliform in the biosolids shall be less than 1000 Most Probable Number </w:t>
      </w:r>
      <w:r w:rsidRPr="00326E64">
        <w:rPr>
          <w:rFonts w:ascii="Times New Roman" w:eastAsia="Calibri" w:hAnsi="Times New Roman" w:cs="Times New Roman"/>
          <w:u w:val="single"/>
        </w:rPr>
        <w:t xml:space="preserve">(MPN) </w:t>
      </w:r>
      <w:r w:rsidRPr="00326E64">
        <w:rPr>
          <w:rFonts w:ascii="Times New Roman" w:eastAsia="Calibri" w:hAnsi="Times New Roman" w:cs="Times New Roman"/>
        </w:rPr>
        <w:t xml:space="preserve">per gram of total solids (dry weight basis), or the density of </w:t>
      </w:r>
      <w:r w:rsidRPr="00326E64">
        <w:rPr>
          <w:rFonts w:ascii="Times New Roman" w:eastAsia="Calibri" w:hAnsi="Times New Roman" w:cs="Times New Roman"/>
          <w:i/>
        </w:rPr>
        <w:t>Salmonella sp</w:t>
      </w:r>
      <w:r w:rsidRPr="00326E64">
        <w:rPr>
          <w:rFonts w:ascii="Times New Roman" w:eastAsia="Calibri" w:hAnsi="Times New Roman" w:cs="Times New Roman"/>
        </w:rPr>
        <w:t xml:space="preserve">. bacteria in the biosolids shall be less than 3 Most Probable Number </w:t>
      </w:r>
      <w:r w:rsidRPr="00326E64">
        <w:rPr>
          <w:rFonts w:ascii="Times New Roman" w:eastAsia="Calibri" w:hAnsi="Times New Roman" w:cs="Times New Roman"/>
          <w:u w:val="single"/>
        </w:rPr>
        <w:t xml:space="preserve">(MPN) </w:t>
      </w:r>
      <w:r w:rsidRPr="00326E64">
        <w:rPr>
          <w:rFonts w:ascii="Times New Roman" w:eastAsia="Calibri" w:hAnsi="Times New Roman" w:cs="Times New Roman"/>
        </w:rPr>
        <w:t xml:space="preserve">per 4 grams of total solids (dry weight basis) at the time the biosolids are used or disposed, at the time the biosolids are prepared for sale or to be given away in a bag or other container for application to the land, or at the time the sewage sludge or material derived from sewage sludge is prepared to meet the requirements of </w:t>
      </w:r>
      <w:r w:rsidRPr="00326E64">
        <w:rPr>
          <w:rFonts w:ascii="Times New Roman" w:eastAsia="Calibri" w:hAnsi="Times New Roman" w:cs="Times New Roman"/>
          <w:i/>
        </w:rPr>
        <w:t>Exceptional Quality biosolids</w:t>
      </w:r>
      <w:r w:rsidRPr="00326E64">
        <w:rPr>
          <w:rFonts w:ascii="Times New Roman" w:eastAsia="Calibri" w:hAnsi="Times New Roman" w:cs="Times New Roman"/>
        </w:rPr>
        <w:t>, as defined in LAC 33:IX.7301.B.</w:t>
      </w:r>
    </w:p>
    <w:p w14:paraId="65924A4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w:t>
      </w:r>
      <w:r w:rsidRPr="00326E64">
        <w:rPr>
          <w:rFonts w:ascii="Times New Roman" w:eastAsia="Calibri" w:hAnsi="Times New Roman" w:cs="Times New Roman"/>
        </w:rPr>
        <w:tab/>
        <w:t>…</w:t>
      </w:r>
    </w:p>
    <w:p w14:paraId="3839A3EC"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 xml:space="preserve">When the density of enteric viruses in the sewage sludge prior to pathogen treatment is less than 1 Plaque-forming Unit </w:t>
      </w:r>
      <w:r w:rsidRPr="00326E64">
        <w:rPr>
          <w:rFonts w:ascii="Times New Roman" w:eastAsia="Calibri" w:hAnsi="Times New Roman" w:cs="Times New Roman"/>
          <w:u w:val="single"/>
        </w:rPr>
        <w:t xml:space="preserve">(PFU) </w:t>
      </w:r>
      <w:r w:rsidRPr="00326E64">
        <w:rPr>
          <w:rFonts w:ascii="Times New Roman" w:eastAsia="Calibri" w:hAnsi="Times New Roman" w:cs="Times New Roman"/>
        </w:rPr>
        <w:t>per 4 grams of total solids (dry weight basis), the sewage sludge is Exceptional Quality biosolids with respect to enteric viruses until the next monitoring episode for the sewage sludge.</w:t>
      </w:r>
    </w:p>
    <w:p w14:paraId="16526BC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 xml:space="preserve">When the density of enteric viruses in the sewage sludge prior to pathogen treatment is equal to or greater than 1 Plaque-forming Unit </w:t>
      </w:r>
      <w:r w:rsidRPr="00326E64">
        <w:rPr>
          <w:rFonts w:ascii="Times New Roman" w:eastAsia="Calibri" w:hAnsi="Times New Roman" w:cs="Times New Roman"/>
          <w:u w:val="single"/>
        </w:rPr>
        <w:t xml:space="preserve">(PFU) </w:t>
      </w:r>
      <w:r w:rsidRPr="00326E64">
        <w:rPr>
          <w:rFonts w:ascii="Times New Roman" w:eastAsia="Calibri" w:hAnsi="Times New Roman" w:cs="Times New Roman"/>
        </w:rPr>
        <w:t xml:space="preserve">per 4 grams of total solids (dry weight basis), the sewage sludge is Exceptional Quality biosolids with respect to enteric viruses when the density of enteric viruses in the sewage sludge after pathogen treatment is less than 1 Plaque-forming Unit </w:t>
      </w:r>
      <w:r w:rsidRPr="00326E64">
        <w:rPr>
          <w:rFonts w:ascii="Times New Roman" w:eastAsia="Calibri" w:hAnsi="Times New Roman" w:cs="Times New Roman"/>
          <w:u w:val="single"/>
        </w:rPr>
        <w:t xml:space="preserve">(PFU) </w:t>
      </w:r>
      <w:r w:rsidRPr="00326E64">
        <w:rPr>
          <w:rFonts w:ascii="Times New Roman" w:eastAsia="Calibri" w:hAnsi="Times New Roman" w:cs="Times New Roman"/>
        </w:rPr>
        <w:t>per 4 grams of total solids (dry weight basis) and when the values or ranges of values for the operating parameters for the pathogen treatment process that produces the sewage sludge that meets the enteric virus density requirement are documented.</w:t>
      </w:r>
    </w:p>
    <w:p w14:paraId="72FE73D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ii.(c). — iii.(c).</w:t>
      </w:r>
      <w:r w:rsidRPr="00326E64">
        <w:rPr>
          <w:rFonts w:ascii="Times New Roman" w:eastAsia="Calibri" w:hAnsi="Times New Roman" w:cs="Times New Roman"/>
        </w:rPr>
        <w:tab/>
        <w:t>…</w:t>
      </w:r>
    </w:p>
    <w:p w14:paraId="26AF975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f.</w:t>
      </w:r>
      <w:r w:rsidRPr="00326E64">
        <w:rPr>
          <w:rFonts w:ascii="Times New Roman" w:eastAsia="Calibri" w:hAnsi="Times New Roman" w:cs="Times New Roman"/>
        </w:rPr>
        <w:tab/>
        <w:t>Exceptional Quality Biosolids―Alternative 4</w:t>
      </w:r>
    </w:p>
    <w:p w14:paraId="394DA4F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 xml:space="preserve">Either the density of fecal coliform in the biosolids shall be less than 1000 Most Probable Number </w:t>
      </w:r>
      <w:r w:rsidRPr="00326E64">
        <w:rPr>
          <w:rFonts w:ascii="Times New Roman" w:eastAsia="Calibri" w:hAnsi="Times New Roman" w:cs="Times New Roman"/>
          <w:u w:val="single"/>
        </w:rPr>
        <w:t xml:space="preserve">(MPN) </w:t>
      </w:r>
      <w:r w:rsidRPr="00326E64">
        <w:rPr>
          <w:rFonts w:ascii="Times New Roman" w:eastAsia="Calibri" w:hAnsi="Times New Roman" w:cs="Times New Roman"/>
        </w:rPr>
        <w:t xml:space="preserve">per gram of total solids (dry weight basis), or the density of </w:t>
      </w:r>
      <w:r w:rsidRPr="00326E64">
        <w:rPr>
          <w:rFonts w:ascii="Times New Roman" w:eastAsia="Calibri" w:hAnsi="Times New Roman" w:cs="Times New Roman"/>
          <w:i/>
        </w:rPr>
        <w:t>Salmonella sp</w:t>
      </w:r>
      <w:r w:rsidRPr="00326E64">
        <w:rPr>
          <w:rFonts w:ascii="Times New Roman" w:eastAsia="Calibri" w:hAnsi="Times New Roman" w:cs="Times New Roman"/>
        </w:rPr>
        <w:t xml:space="preserve">. bacteria in the biosolids shall be less than 3 Most Probable Number </w:t>
      </w:r>
      <w:r w:rsidRPr="00326E64">
        <w:rPr>
          <w:rFonts w:ascii="Times New Roman" w:eastAsia="Calibri" w:hAnsi="Times New Roman" w:cs="Times New Roman"/>
          <w:u w:val="single"/>
        </w:rPr>
        <w:t xml:space="preserve">(MPN) </w:t>
      </w:r>
      <w:r w:rsidRPr="00326E64">
        <w:rPr>
          <w:rFonts w:ascii="Times New Roman" w:eastAsia="Calibri" w:hAnsi="Times New Roman" w:cs="Times New Roman"/>
        </w:rPr>
        <w:t xml:space="preserve">per 4 grams of total solids (dry weight basis) at the time the biosolids are used or disposed, at the time the biosolids are prepared for sale or to be given away in a bag or other container for application to the land, or at the time the sewage sludge or material derived from sewage sludge is prepared to meet the requirements of </w:t>
      </w:r>
      <w:r w:rsidRPr="00326E64">
        <w:rPr>
          <w:rFonts w:ascii="Times New Roman" w:eastAsia="Calibri" w:hAnsi="Times New Roman" w:cs="Times New Roman"/>
          <w:i/>
        </w:rPr>
        <w:t>Exceptional Quality biosolids</w:t>
      </w:r>
      <w:r w:rsidRPr="00326E64">
        <w:rPr>
          <w:rFonts w:ascii="Times New Roman" w:eastAsia="Calibri" w:hAnsi="Times New Roman" w:cs="Times New Roman"/>
        </w:rPr>
        <w:t>, as defined in LAC 33:IX.7301.B.</w:t>
      </w:r>
    </w:p>
    <w:p w14:paraId="72BE990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 — iii.</w:t>
      </w:r>
      <w:r w:rsidRPr="00326E64">
        <w:rPr>
          <w:rFonts w:ascii="Times New Roman" w:eastAsia="Calibri" w:hAnsi="Times New Roman" w:cs="Times New Roman"/>
        </w:rPr>
        <w:tab/>
        <w:t>…</w:t>
      </w:r>
    </w:p>
    <w:p w14:paraId="15029B8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g.</w:t>
      </w:r>
      <w:r w:rsidRPr="00326E64">
        <w:rPr>
          <w:rFonts w:ascii="Times New Roman" w:eastAsia="Calibri" w:hAnsi="Times New Roman" w:cs="Times New Roman"/>
        </w:rPr>
        <w:tab/>
        <w:t>Exceptional Quality Biosolids—Alternative 5</w:t>
      </w:r>
    </w:p>
    <w:p w14:paraId="20167EF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 xml:space="preserve">Either the density of fecal coliform in the biosolids shall be less than 1000 Most Probable Number </w:t>
      </w:r>
      <w:r w:rsidRPr="00326E64">
        <w:rPr>
          <w:rFonts w:ascii="Times New Roman" w:eastAsia="Calibri" w:hAnsi="Times New Roman" w:cs="Times New Roman"/>
          <w:u w:val="single"/>
        </w:rPr>
        <w:t xml:space="preserve">(MPN) </w:t>
      </w:r>
      <w:r w:rsidRPr="00326E64">
        <w:rPr>
          <w:rFonts w:ascii="Times New Roman" w:eastAsia="Calibri" w:hAnsi="Times New Roman" w:cs="Times New Roman"/>
        </w:rPr>
        <w:t xml:space="preserve">per gram of total solids (dry weight basis), or the density of </w:t>
      </w:r>
      <w:r w:rsidRPr="00326E64">
        <w:rPr>
          <w:rFonts w:ascii="Times New Roman" w:eastAsia="Calibri" w:hAnsi="Times New Roman" w:cs="Times New Roman"/>
          <w:i/>
        </w:rPr>
        <w:t>Salmonella sp</w:t>
      </w:r>
      <w:r w:rsidRPr="00326E64">
        <w:rPr>
          <w:rFonts w:ascii="Times New Roman" w:eastAsia="Calibri" w:hAnsi="Times New Roman" w:cs="Times New Roman"/>
        </w:rPr>
        <w:t xml:space="preserve">. bacteria in the biosolids shall be less than 3 Most Probable Number </w:t>
      </w:r>
      <w:r w:rsidRPr="00326E64">
        <w:rPr>
          <w:rFonts w:ascii="Times New Roman" w:eastAsia="Calibri" w:hAnsi="Times New Roman" w:cs="Times New Roman"/>
          <w:u w:val="single"/>
        </w:rPr>
        <w:t xml:space="preserve">(MPN) </w:t>
      </w:r>
      <w:r w:rsidRPr="00326E64">
        <w:rPr>
          <w:rFonts w:ascii="Times New Roman" w:eastAsia="Calibri" w:hAnsi="Times New Roman" w:cs="Times New Roman"/>
        </w:rPr>
        <w:t xml:space="preserve">per 4 grams of total solids (dry weight basis) at the time the biosolids are used or disposed, at the time the biosolids are prepared for sale or to be given away in a bag or other container for application to the land, or at the time the sewage sludge or material derived from sewage sludge is prepared to meet the requirements of </w:t>
      </w:r>
      <w:r w:rsidRPr="00326E64">
        <w:rPr>
          <w:rFonts w:ascii="Times New Roman" w:eastAsia="Calibri" w:hAnsi="Times New Roman" w:cs="Times New Roman"/>
          <w:i/>
        </w:rPr>
        <w:t>Exceptional Quality biosolids</w:t>
      </w:r>
      <w:r w:rsidRPr="00326E64">
        <w:rPr>
          <w:rFonts w:ascii="Times New Roman" w:eastAsia="Calibri" w:hAnsi="Times New Roman" w:cs="Times New Roman"/>
        </w:rPr>
        <w:t>, as defined in LAC 33:IX.7301.B.</w:t>
      </w:r>
    </w:p>
    <w:p w14:paraId="1A117E2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w:t>
      </w:r>
      <w:r w:rsidRPr="00326E64">
        <w:rPr>
          <w:rFonts w:ascii="Times New Roman" w:eastAsia="Calibri" w:hAnsi="Times New Roman" w:cs="Times New Roman"/>
        </w:rPr>
        <w:tab/>
        <w:t>Sewage sludge that is used or disposed shall be treated in one of the Processes to Further Reduce Pathogens described in LAC 33:IX.73</w:t>
      </w:r>
      <w:r w:rsidRPr="00326E64">
        <w:rPr>
          <w:rFonts w:ascii="Times New Roman" w:eastAsia="Calibri" w:hAnsi="Times New Roman" w:cs="Times New Roman"/>
          <w:u w:val="single"/>
        </w:rPr>
        <w:t>0</w:t>
      </w:r>
      <w:r w:rsidRPr="00326E64">
        <w:rPr>
          <w:rFonts w:ascii="Times New Roman" w:eastAsia="Calibri" w:hAnsi="Times New Roman" w:cs="Times New Roman"/>
          <w:strike/>
        </w:rPr>
        <w:t>9</w:t>
      </w:r>
      <w:r w:rsidRPr="00326E64">
        <w:rPr>
          <w:rFonts w:ascii="Times New Roman" w:eastAsia="Calibri" w:hAnsi="Times New Roman" w:cs="Times New Roman"/>
        </w:rPr>
        <w:t>9.</w:t>
      </w:r>
      <w:r w:rsidRPr="00326E64">
        <w:rPr>
          <w:rFonts w:ascii="Times New Roman" w:eastAsia="Calibri" w:hAnsi="Times New Roman" w:cs="Times New Roman"/>
          <w:strike/>
        </w:rPr>
        <w:t>B</w:t>
      </w:r>
      <w:r w:rsidRPr="00326E64">
        <w:rPr>
          <w:rFonts w:ascii="Times New Roman" w:eastAsia="Calibri" w:hAnsi="Times New Roman" w:cs="Times New Roman"/>
          <w:u w:val="single"/>
        </w:rPr>
        <w:t>D.2</w:t>
      </w:r>
      <w:r w:rsidRPr="00326E64">
        <w:rPr>
          <w:rFonts w:ascii="Times New Roman" w:eastAsia="Calibri" w:hAnsi="Times New Roman" w:cs="Times New Roman"/>
        </w:rPr>
        <w:t>.</w:t>
      </w:r>
    </w:p>
    <w:p w14:paraId="2C228A3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h.</w:t>
      </w:r>
      <w:r w:rsidRPr="00326E64">
        <w:rPr>
          <w:rFonts w:ascii="Times New Roman" w:eastAsia="Calibri" w:hAnsi="Times New Roman" w:cs="Times New Roman"/>
        </w:rPr>
        <w:tab/>
        <w:t>Exceptional Quality Biosolids—Alternative 6</w:t>
      </w:r>
    </w:p>
    <w:p w14:paraId="441E5D1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 xml:space="preserve">Either the density of fecal coliform in the biosolids shall be less than 1000 Most Probable Number </w:t>
      </w:r>
      <w:r w:rsidRPr="00326E64">
        <w:rPr>
          <w:rFonts w:ascii="Times New Roman" w:eastAsia="Calibri" w:hAnsi="Times New Roman" w:cs="Times New Roman"/>
          <w:u w:val="single"/>
        </w:rPr>
        <w:t xml:space="preserve">(MPN) </w:t>
      </w:r>
      <w:r w:rsidRPr="00326E64">
        <w:rPr>
          <w:rFonts w:ascii="Times New Roman" w:eastAsia="Calibri" w:hAnsi="Times New Roman" w:cs="Times New Roman"/>
        </w:rPr>
        <w:t xml:space="preserve">per gram of total solids (dry weight basis), or the density of </w:t>
      </w:r>
      <w:r w:rsidRPr="00326E64">
        <w:rPr>
          <w:rFonts w:ascii="Times New Roman" w:eastAsia="Calibri" w:hAnsi="Times New Roman" w:cs="Times New Roman"/>
          <w:i/>
        </w:rPr>
        <w:t>Salmonella sp</w:t>
      </w:r>
      <w:r w:rsidRPr="00326E64">
        <w:rPr>
          <w:rFonts w:ascii="Times New Roman" w:eastAsia="Calibri" w:hAnsi="Times New Roman" w:cs="Times New Roman"/>
        </w:rPr>
        <w:t xml:space="preserve">. bacteria in the biosolids shall be less than 3 Most Probable Number </w:t>
      </w:r>
      <w:r w:rsidRPr="00326E64">
        <w:rPr>
          <w:rFonts w:ascii="Times New Roman" w:eastAsia="Calibri" w:hAnsi="Times New Roman" w:cs="Times New Roman"/>
          <w:u w:val="single"/>
        </w:rPr>
        <w:t xml:space="preserve">(MPN) </w:t>
      </w:r>
      <w:r w:rsidRPr="00326E64">
        <w:rPr>
          <w:rFonts w:ascii="Times New Roman" w:eastAsia="Calibri" w:hAnsi="Times New Roman" w:cs="Times New Roman"/>
        </w:rPr>
        <w:t xml:space="preserve">per 4 grams of total solids (dry weight basis) at the time the biosolids are used or disposed, at the time the biosolids are prepared for sale or to be given away in a bag or other container for application to the land, or at the time the sewage sludge or material derived from sewage sludge is prepared to meet the requirements of </w:t>
      </w:r>
      <w:r w:rsidRPr="00326E64">
        <w:rPr>
          <w:rFonts w:ascii="Times New Roman" w:eastAsia="Calibri" w:hAnsi="Times New Roman" w:cs="Times New Roman"/>
          <w:i/>
        </w:rPr>
        <w:t>Exceptional Quality biosolids</w:t>
      </w:r>
      <w:r w:rsidRPr="00326E64">
        <w:rPr>
          <w:rFonts w:ascii="Times New Roman" w:eastAsia="Calibri" w:hAnsi="Times New Roman" w:cs="Times New Roman"/>
        </w:rPr>
        <w:t>, as defined in LAC 33:IX.7301.B.</w:t>
      </w:r>
    </w:p>
    <w:p w14:paraId="5BE5284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 — iii.</w:t>
      </w:r>
      <w:r w:rsidRPr="00326E64">
        <w:rPr>
          <w:rFonts w:ascii="Times New Roman" w:eastAsia="Calibri" w:hAnsi="Times New Roman" w:cs="Times New Roman"/>
        </w:rPr>
        <w:tab/>
        <w:t>…</w:t>
      </w:r>
    </w:p>
    <w:p w14:paraId="0146C9C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2.</w:t>
      </w:r>
      <w:r w:rsidRPr="00326E64">
        <w:rPr>
          <w:rFonts w:ascii="Times New Roman" w:eastAsia="Calibri" w:hAnsi="Times New Roman" w:cs="Times New Roman"/>
        </w:rPr>
        <w:tab/>
        <w:t>Class B Biosolids</w:t>
      </w:r>
    </w:p>
    <w:p w14:paraId="13B730DC"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The requirements in Subparagraph C.2.b</w:t>
      </w:r>
      <w:r w:rsidRPr="00326E64">
        <w:rPr>
          <w:rFonts w:ascii="Times New Roman" w:eastAsia="Calibri" w:hAnsi="Times New Roman" w:cs="Times New Roman"/>
          <w:strike/>
        </w:rPr>
        <w:t>, c, or</w:t>
      </w:r>
      <w:r w:rsidRPr="00326E64">
        <w:rPr>
          <w:rFonts w:ascii="Times New Roman" w:eastAsia="Calibri" w:hAnsi="Times New Roman" w:cs="Times New Roman"/>
          <w:u w:val="single"/>
        </w:rPr>
        <w:t>-</w:t>
      </w:r>
      <w:r w:rsidRPr="00326E64">
        <w:rPr>
          <w:rFonts w:ascii="Times New Roman" w:eastAsia="Calibri" w:hAnsi="Times New Roman" w:cs="Times New Roman"/>
        </w:rPr>
        <w:t xml:space="preserve">d of this Section </w:t>
      </w:r>
      <w:r w:rsidRPr="00326E64">
        <w:rPr>
          <w:rFonts w:ascii="Times New Roman" w:eastAsia="Calibri" w:hAnsi="Times New Roman" w:cs="Times New Roman"/>
          <w:strike/>
        </w:rPr>
        <w:t>must</w:t>
      </w:r>
      <w:r w:rsidRPr="00326E64">
        <w:rPr>
          <w:rFonts w:ascii="Times New Roman" w:eastAsia="Calibri" w:hAnsi="Times New Roman" w:cs="Times New Roman"/>
          <w:u w:val="single"/>
        </w:rPr>
        <w:t>shall</w:t>
      </w:r>
      <w:r w:rsidRPr="00326E64">
        <w:rPr>
          <w:rFonts w:ascii="Times New Roman" w:eastAsia="Calibri" w:hAnsi="Times New Roman" w:cs="Times New Roman"/>
        </w:rPr>
        <w:t xml:space="preserve"> be met for biosolids classified as Class B biosolids with respect to pathogens. The site restrictions in Subparagraph C.2.e of this Section must be met when biosolids that meet the Class B biosolids pathogen requirements in Subparagraph C.2.b</w:t>
      </w:r>
      <w:r w:rsidRPr="00326E64">
        <w:rPr>
          <w:rFonts w:ascii="Times New Roman" w:eastAsia="Calibri" w:hAnsi="Times New Roman" w:cs="Times New Roman"/>
          <w:strike/>
        </w:rPr>
        <w:t>, c, or</w:t>
      </w:r>
      <w:r w:rsidRPr="00326E64">
        <w:rPr>
          <w:rFonts w:ascii="Times New Roman" w:eastAsia="Calibri" w:hAnsi="Times New Roman" w:cs="Times New Roman"/>
          <w:u w:val="single"/>
        </w:rPr>
        <w:t>-</w:t>
      </w:r>
      <w:r w:rsidRPr="00326E64">
        <w:rPr>
          <w:rFonts w:ascii="Times New Roman" w:eastAsia="Calibri" w:hAnsi="Times New Roman" w:cs="Times New Roman"/>
        </w:rPr>
        <w:t>d of this Section are applied to the land.</w:t>
      </w:r>
    </w:p>
    <w:p w14:paraId="75DA146D"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Class B Biosolids―Alternative 1</w:t>
      </w:r>
    </w:p>
    <w:p w14:paraId="4A4EA14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Seven representative samples of the biosolids that are used or disposed shall be collected.</w:t>
      </w:r>
    </w:p>
    <w:p w14:paraId="458D226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w:t>
      </w:r>
      <w:r w:rsidRPr="00326E64">
        <w:rPr>
          <w:rFonts w:ascii="Times New Roman" w:eastAsia="Calibri" w:hAnsi="Times New Roman" w:cs="Times New Roman"/>
        </w:rPr>
        <w:tab/>
        <w:t xml:space="preserve">The geometric mean of the density of fecal coliform in the samples required by Clause C.2.b.i of this Section shall be less than either 2,000,000 Most Probable Number </w:t>
      </w:r>
      <w:r w:rsidRPr="00326E64">
        <w:rPr>
          <w:rFonts w:ascii="Times New Roman" w:eastAsia="Calibri" w:hAnsi="Times New Roman" w:cs="Times New Roman"/>
          <w:u w:val="single"/>
        </w:rPr>
        <w:t xml:space="preserve">(MPN) </w:t>
      </w:r>
      <w:r w:rsidRPr="00326E64">
        <w:rPr>
          <w:rFonts w:ascii="Times New Roman" w:eastAsia="Calibri" w:hAnsi="Times New Roman" w:cs="Times New Roman"/>
        </w:rPr>
        <w:t xml:space="preserve">per gram of total solids (dry weight basis) or 2,000,000 Colony Forming Units </w:t>
      </w:r>
      <w:r w:rsidRPr="00326E64">
        <w:rPr>
          <w:rFonts w:ascii="Times New Roman" w:eastAsia="Calibri" w:hAnsi="Times New Roman" w:cs="Times New Roman"/>
          <w:u w:val="single"/>
        </w:rPr>
        <w:t xml:space="preserve">(CFU) </w:t>
      </w:r>
      <w:r w:rsidRPr="00326E64">
        <w:rPr>
          <w:rFonts w:ascii="Times New Roman" w:eastAsia="Calibri" w:hAnsi="Times New Roman" w:cs="Times New Roman"/>
        </w:rPr>
        <w:t>per gram of total solids (dry weight basis).</w:t>
      </w:r>
    </w:p>
    <w:p w14:paraId="526D1FC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c. — e.vi.</w:t>
      </w:r>
      <w:r w:rsidRPr="00326E64">
        <w:rPr>
          <w:rFonts w:ascii="Times New Roman" w:eastAsia="Calibri" w:hAnsi="Times New Roman" w:cs="Times New Roman"/>
        </w:rPr>
        <w:tab/>
        <w:t>…</w:t>
      </w:r>
    </w:p>
    <w:p w14:paraId="3F682F9E" w14:textId="77777777" w:rsidR="00326E64" w:rsidRPr="00326E64" w:rsidRDefault="00326E64" w:rsidP="00326E64">
      <w:pPr>
        <w:spacing w:line="480" w:lineRule="auto"/>
        <w:rPr>
          <w:rFonts w:ascii="Times New Roman" w:eastAsia="Calibri" w:hAnsi="Times New Roman" w:cs="Times New Roman"/>
          <w:color w:val="000000"/>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vii.</w:t>
      </w:r>
      <w:r w:rsidRPr="00326E64">
        <w:rPr>
          <w:rFonts w:ascii="Times New Roman" w:eastAsia="Calibri" w:hAnsi="Times New Roman" w:cs="Times New Roman"/>
        </w:rPr>
        <w:tab/>
        <w:t>Public access to land with a high potential for public exposure shall be restricted for one year after application of biosolids, by mean approved by the administrative authority.</w:t>
      </w:r>
      <w:r w:rsidRPr="00326E64">
        <w:rPr>
          <w:rFonts w:ascii="Times New Roman" w:eastAsia="Calibri" w:hAnsi="Times New Roman" w:cs="Times New Roman"/>
          <w:u w:val="single"/>
        </w:rPr>
        <w:t xml:space="preserve">  Examples of land with high potential for public access includes, but is not limited to, </w:t>
      </w:r>
      <w:r w:rsidRPr="00326E64">
        <w:rPr>
          <w:rFonts w:ascii="Times New Roman" w:eastAsia="Calibri" w:hAnsi="Times New Roman" w:cs="Times New Roman"/>
          <w:color w:val="000000"/>
          <w:u w:val="single"/>
        </w:rPr>
        <w:t>public parks, ball fields, cemeteries, plant nurseries, turf farms, and golf courses.</w:t>
      </w:r>
    </w:p>
    <w:p w14:paraId="1AF78795" w14:textId="77777777" w:rsidR="00326E64" w:rsidRPr="00326E64" w:rsidRDefault="00326E64" w:rsidP="00326E64">
      <w:pPr>
        <w:spacing w:line="480" w:lineRule="auto"/>
        <w:rPr>
          <w:rFonts w:ascii="Times New Roman" w:eastAsia="Calibri" w:hAnsi="Times New Roman" w:cs="Times New Roman"/>
          <w:color w:val="000000"/>
          <w:u w:val="single"/>
        </w:rPr>
      </w:pPr>
      <w:r w:rsidRPr="00326E64">
        <w:rPr>
          <w:rFonts w:ascii="Times New Roman" w:eastAsia="Calibri" w:hAnsi="Times New Roman" w:cs="Times New Roman"/>
          <w:color w:val="000000"/>
        </w:rPr>
        <w:tab/>
      </w:r>
      <w:r w:rsidRPr="00326E64">
        <w:rPr>
          <w:rFonts w:ascii="Times New Roman" w:eastAsia="Calibri" w:hAnsi="Times New Roman" w:cs="Times New Roman"/>
          <w:color w:val="000000"/>
        </w:rPr>
        <w:tab/>
      </w:r>
      <w:r w:rsidRPr="00326E64">
        <w:rPr>
          <w:rFonts w:ascii="Times New Roman" w:eastAsia="Calibri" w:hAnsi="Times New Roman" w:cs="Times New Roman"/>
          <w:color w:val="000000"/>
        </w:rPr>
        <w:tab/>
        <w:t>viii.</w:t>
      </w:r>
      <w:r w:rsidRPr="00326E64">
        <w:rPr>
          <w:rFonts w:ascii="Times New Roman" w:eastAsia="Calibri" w:hAnsi="Times New Roman" w:cs="Times New Roman"/>
          <w:color w:val="000000"/>
        </w:rPr>
        <w:tab/>
        <w:t>Public access to land with a low potential for public exposure shall be restricted for 30 days after application of biosolids, by means approved by the administrative authority.</w:t>
      </w:r>
      <w:r w:rsidRPr="00326E64">
        <w:rPr>
          <w:rFonts w:ascii="Times New Roman" w:eastAsia="Calibri" w:hAnsi="Times New Roman" w:cs="Times New Roman"/>
          <w:color w:val="000000"/>
          <w:u w:val="single"/>
        </w:rPr>
        <w:t xml:space="preserve">  Examples of land with low potential for public access includes, but it not limited to, agricultural land, forest, and a reclamation site located in an unpopulated area (e.g., a strip mine located in a rural area).</w:t>
      </w:r>
    </w:p>
    <w:p w14:paraId="2519280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color w:val="000000"/>
        </w:rPr>
        <w:tab/>
      </w:r>
      <w:r w:rsidRPr="00326E64">
        <w:rPr>
          <w:rFonts w:ascii="Times New Roman" w:eastAsia="Calibri" w:hAnsi="Times New Roman" w:cs="Times New Roman"/>
          <w:color w:val="000000"/>
        </w:rPr>
        <w:tab/>
      </w:r>
      <w:r w:rsidRPr="00326E64">
        <w:rPr>
          <w:rFonts w:ascii="Times New Roman" w:eastAsia="Calibri" w:hAnsi="Times New Roman" w:cs="Times New Roman"/>
          <w:color w:val="000000"/>
        </w:rPr>
        <w:tab/>
        <w:t>ix.</w:t>
      </w:r>
      <w:r w:rsidRPr="00326E64">
        <w:rPr>
          <w:rFonts w:ascii="Times New Roman" w:eastAsia="Calibri" w:hAnsi="Times New Roman" w:cs="Times New Roman"/>
        </w:rPr>
        <w:t xml:space="preserve"> — ix.(c).</w:t>
      </w:r>
      <w:r w:rsidRPr="00326E64">
        <w:rPr>
          <w:rFonts w:ascii="Times New Roman" w:eastAsia="Calibri" w:hAnsi="Times New Roman" w:cs="Times New Roman"/>
        </w:rPr>
        <w:tab/>
        <w:t>…</w:t>
      </w:r>
    </w:p>
    <w:p w14:paraId="5121B0FE" w14:textId="77777777" w:rsidR="00326E64" w:rsidRPr="00326E64" w:rsidRDefault="00326E64" w:rsidP="00326E64">
      <w:pPr>
        <w:tabs>
          <w:tab w:val="left" w:pos="720"/>
        </w:tabs>
        <w:spacing w:line="480" w:lineRule="auto"/>
        <w:rPr>
          <w:rFonts w:ascii="Times New Roman" w:eastAsia="Calibri" w:hAnsi="Times New Roman" w:cs="Times New Roman"/>
          <w:u w:val="single"/>
        </w:rPr>
      </w:pPr>
      <w:r w:rsidRPr="00326E64">
        <w:rPr>
          <w:rFonts w:ascii="Times New Roman" w:eastAsia="Calibri" w:hAnsi="Times New Roman" w:cs="Times New Roman"/>
        </w:rPr>
        <w:lastRenderedPageBreak/>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Pathogen Treatment Processes―Exceptional Quality and Class B Biosolids</w:t>
      </w:r>
    </w:p>
    <w:p w14:paraId="148FE44E" w14:textId="77777777" w:rsidR="00326E64" w:rsidRPr="00326E64" w:rsidRDefault="00326E64" w:rsidP="00326E64">
      <w:pPr>
        <w:tabs>
          <w:tab w:val="left" w:pos="720"/>
        </w:tabs>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1.</w:t>
      </w:r>
      <w:r w:rsidRPr="00326E64">
        <w:rPr>
          <w:rFonts w:ascii="Times New Roman" w:eastAsia="Calibri" w:hAnsi="Times New Roman" w:cs="Times New Roman"/>
          <w:u w:val="single"/>
        </w:rPr>
        <w:tab/>
        <w:t>Processes to Significantly Reduce Pathogens (PSRP)</w:t>
      </w:r>
    </w:p>
    <w:p w14:paraId="6F364A9E" w14:textId="77777777" w:rsidR="00326E64" w:rsidRPr="00326E64" w:rsidRDefault="00326E64" w:rsidP="00326E64">
      <w:pPr>
        <w:tabs>
          <w:tab w:val="left" w:pos="720"/>
        </w:tabs>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Aerobic Digestion. Sewage sludge is agitated with air or oxygen to maintain aerobic conditions for a specific mean cell residence time at a specific temperature. Values for the mean cell residence time and temperature shall be between 40 days at 20°C and 60 days at 15°C.</w:t>
      </w:r>
    </w:p>
    <w:p w14:paraId="10D977C7" w14:textId="77777777" w:rsidR="00326E64" w:rsidRPr="00326E64" w:rsidRDefault="00326E64" w:rsidP="00326E64">
      <w:pPr>
        <w:tabs>
          <w:tab w:val="left" w:pos="720"/>
        </w:tabs>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Air Drying. Sewage sludge is dried on sand beds or on paved or unpaved basins. The sewage sludge dries for a minimum of three months. During two of the three months, the ambient average daily temperature is above 0°C.</w:t>
      </w:r>
    </w:p>
    <w:p w14:paraId="01D4C1D2" w14:textId="77777777" w:rsidR="00326E64" w:rsidRPr="00326E64" w:rsidRDefault="00326E64" w:rsidP="00326E64">
      <w:pPr>
        <w:tabs>
          <w:tab w:val="left" w:pos="720"/>
        </w:tabs>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Anaerobic Digestion. Sewage sludge is treated in the absence of air for a specific mean cell residence time at a specific temperature. Values for the mean cell residence time and temperature shall be between 15 days at 35°to 55°C and 60 days at 20°C.</w:t>
      </w:r>
    </w:p>
    <w:p w14:paraId="5A1C556D" w14:textId="77777777" w:rsidR="00326E64" w:rsidRPr="00326E64" w:rsidRDefault="00326E64" w:rsidP="00326E64">
      <w:pPr>
        <w:tabs>
          <w:tab w:val="left" w:pos="720"/>
        </w:tabs>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Composting. Using either the within-vessel, static aerated pile, or windrow composting methods, the temperature of the sewage sludge is raised to 40°C or higher and remains at 40°C or higher for five days. For four hours during the five days, the temperature in the compost pile exceeds 55°C.</w:t>
      </w:r>
    </w:p>
    <w:p w14:paraId="0C062306" w14:textId="77777777" w:rsidR="00326E64" w:rsidRPr="00326E64" w:rsidRDefault="00326E64" w:rsidP="00326E64">
      <w:pPr>
        <w:tabs>
          <w:tab w:val="left" w:pos="720"/>
        </w:tabs>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e.</w:t>
      </w:r>
      <w:r w:rsidRPr="00326E64">
        <w:rPr>
          <w:rFonts w:ascii="Times New Roman" w:eastAsia="Calibri" w:hAnsi="Times New Roman" w:cs="Times New Roman"/>
          <w:u w:val="single"/>
        </w:rPr>
        <w:tab/>
        <w:t>Lime Stabilization. Sufficient lime is added to the sewage sludge to raise the pH of the sewage sludge to 12 after two hours of contact.</w:t>
      </w:r>
    </w:p>
    <w:p w14:paraId="627A614A" w14:textId="77777777" w:rsidR="00326E64" w:rsidRPr="00326E64" w:rsidRDefault="00326E64" w:rsidP="00326E64">
      <w:pPr>
        <w:tabs>
          <w:tab w:val="left" w:pos="720"/>
        </w:tabs>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2.</w:t>
      </w:r>
      <w:r w:rsidRPr="00326E64">
        <w:rPr>
          <w:rFonts w:ascii="Times New Roman" w:eastAsia="Calibri" w:hAnsi="Times New Roman" w:cs="Times New Roman"/>
          <w:u w:val="single"/>
        </w:rPr>
        <w:tab/>
        <w:t>Processes to Further Reduce Pathogens (PFRP)</w:t>
      </w:r>
    </w:p>
    <w:p w14:paraId="0BF331FF" w14:textId="77777777" w:rsidR="00326E64" w:rsidRPr="00326E64" w:rsidRDefault="00326E64" w:rsidP="00326E64">
      <w:pPr>
        <w:tabs>
          <w:tab w:val="left" w:pos="720"/>
        </w:tabs>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 xml:space="preserve">Composting. Using either the within-vessel composting method or the static aerated pile composting method, the temperature of the sewage sludge is maintained at 55°C or higher for three days. Using the windrow composting method, the temperature of the sewage sludge is maintained at 55°C or higher for 15 days or longer. During the period when the </w:t>
      </w:r>
      <w:r w:rsidRPr="00326E64">
        <w:rPr>
          <w:rFonts w:ascii="Times New Roman" w:eastAsia="Calibri" w:hAnsi="Times New Roman" w:cs="Times New Roman"/>
          <w:u w:val="single"/>
        </w:rPr>
        <w:lastRenderedPageBreak/>
        <w:t>compost is maintained at 55°C or higher, there shall be a minimum of five turnings of the windrow.</w:t>
      </w:r>
    </w:p>
    <w:p w14:paraId="0BD1BC83" w14:textId="77777777" w:rsidR="00326E64" w:rsidRPr="00326E64" w:rsidRDefault="00326E64" w:rsidP="00326E64">
      <w:pPr>
        <w:tabs>
          <w:tab w:val="left" w:pos="720"/>
        </w:tabs>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Heat Drying. Sewage sludge is dried by direct or indirect contact with hot gases to reduce the moisture content of the sewage sludge to 10 percent or lower. Either the temperature of the sewage sludge particles exceeds 80°C or the wet bulb temperature of the gas in contact with the sewage sludge as the sewage sludge leaves the dryer exceeds 80˚C.</w:t>
      </w:r>
    </w:p>
    <w:p w14:paraId="08399BE6" w14:textId="77777777" w:rsidR="00326E64" w:rsidRPr="00326E64" w:rsidRDefault="00326E64" w:rsidP="00326E64">
      <w:pPr>
        <w:tabs>
          <w:tab w:val="left" w:pos="720"/>
        </w:tabs>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Heat Treatment. Liquid sewage sludge is heated to a temperature of 180°C or higher for 30 minutes.</w:t>
      </w:r>
    </w:p>
    <w:p w14:paraId="251E83C6" w14:textId="77777777" w:rsidR="00326E64" w:rsidRPr="00326E64" w:rsidRDefault="00326E64" w:rsidP="00326E64">
      <w:pPr>
        <w:tabs>
          <w:tab w:val="left" w:pos="720"/>
        </w:tabs>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Thermophilic Aerobic Digestion. Liquid sewage sludge is agitated with air or oxygen to maintain aerobic conditions and the mean cell residence time of the sewage sludge is 10 days at 55° to 60°C.</w:t>
      </w:r>
    </w:p>
    <w:p w14:paraId="1EB205C5" w14:textId="77777777" w:rsidR="00326E64" w:rsidRPr="00326E64" w:rsidRDefault="00326E64" w:rsidP="00326E64">
      <w:pPr>
        <w:tabs>
          <w:tab w:val="left" w:pos="720"/>
        </w:tabs>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e.</w:t>
      </w:r>
      <w:r w:rsidRPr="00326E64">
        <w:rPr>
          <w:rFonts w:ascii="Times New Roman" w:eastAsia="Calibri" w:hAnsi="Times New Roman" w:cs="Times New Roman"/>
          <w:u w:val="single"/>
        </w:rPr>
        <w:tab/>
        <w:t>Beta Ray Irradiation. Sewage sludge is irradiated with beta rays from an accelerator at dosages of at least 1.0 megarad at room temperature (approximately 20°C).</w:t>
      </w:r>
    </w:p>
    <w:p w14:paraId="2E940AF1" w14:textId="77777777" w:rsidR="00326E64" w:rsidRPr="00326E64" w:rsidRDefault="00326E64" w:rsidP="00326E64">
      <w:pPr>
        <w:tabs>
          <w:tab w:val="left" w:pos="720"/>
        </w:tabs>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f.</w:t>
      </w:r>
      <w:r w:rsidRPr="00326E64">
        <w:rPr>
          <w:rFonts w:ascii="Times New Roman" w:eastAsia="Calibri" w:hAnsi="Times New Roman" w:cs="Times New Roman"/>
          <w:u w:val="single"/>
        </w:rPr>
        <w:tab/>
        <w:t>Gamma Ray Irradiation. Sewage sludge is irradiated with gamma rays from certain isotopes, such as 60Cobalt and 137Cesium, at dosages of at least 1.0 megarad at room temperature (approximately 20°C).</w:t>
      </w:r>
    </w:p>
    <w:p w14:paraId="0074981F" w14:textId="77777777" w:rsidR="00326E64" w:rsidRPr="00326E64" w:rsidRDefault="00326E64" w:rsidP="00326E64">
      <w:pPr>
        <w:tabs>
          <w:tab w:val="left" w:pos="720"/>
        </w:tabs>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g.</w:t>
      </w:r>
      <w:r w:rsidRPr="00326E64">
        <w:rPr>
          <w:rFonts w:ascii="Times New Roman" w:eastAsia="Calibri" w:hAnsi="Times New Roman" w:cs="Times New Roman"/>
          <w:u w:val="single"/>
        </w:rPr>
        <w:tab/>
        <w:t>Pasteurization. The temperature of the sewage sludge is maintained at 70°C or higher for 30 minutes or longer.</w:t>
      </w:r>
    </w:p>
    <w:p w14:paraId="13FC853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u w:val="single"/>
        </w:rPr>
        <w:t>E</w:t>
      </w:r>
      <w:r w:rsidRPr="00326E64">
        <w:rPr>
          <w:rFonts w:ascii="Times New Roman" w:eastAsia="Calibri" w:hAnsi="Times New Roman" w:cs="Times New Roman"/>
          <w:strike/>
        </w:rPr>
        <w:t>D</w:t>
      </w:r>
      <w:r w:rsidRPr="00326E64">
        <w:rPr>
          <w:rFonts w:ascii="Times New Roman" w:eastAsia="Calibri" w:hAnsi="Times New Roman" w:cs="Times New Roman"/>
        </w:rPr>
        <w:t>.</w:t>
      </w:r>
      <w:r w:rsidRPr="00326E64">
        <w:rPr>
          <w:rFonts w:ascii="Times New Roman" w:eastAsia="Calibri" w:hAnsi="Times New Roman" w:cs="Times New Roman"/>
        </w:rPr>
        <w:tab/>
        <w:t>Vector Attraction Reduction</w:t>
      </w:r>
      <w:r w:rsidRPr="00326E64">
        <w:rPr>
          <w:rFonts w:ascii="Times New Roman" w:eastAsia="Calibri" w:hAnsi="Times New Roman" w:cs="Times New Roman"/>
          <w:u w:val="single"/>
        </w:rPr>
        <w:t xml:space="preserve"> – Class B and Exceptional Quality Biosolids</w:t>
      </w:r>
    </w:p>
    <w:p w14:paraId="598EC84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1.</w:t>
      </w:r>
      <w:r w:rsidRPr="00326E64">
        <w:rPr>
          <w:rFonts w:ascii="Times New Roman" w:eastAsia="Calibri" w:hAnsi="Times New Roman" w:cs="Times New Roman"/>
        </w:rPr>
        <w:tab/>
        <w:t>Land Application Requirements</w:t>
      </w:r>
    </w:p>
    <w:p w14:paraId="55A5129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 xml:space="preserve">One of the vector attraction reduction requirements in Subparagraphs </w:t>
      </w:r>
      <w:r w:rsidRPr="00326E64">
        <w:rPr>
          <w:rFonts w:ascii="Times New Roman" w:eastAsia="Calibri" w:hAnsi="Times New Roman" w:cs="Times New Roman"/>
          <w:u w:val="single"/>
        </w:rPr>
        <w:t>E</w:t>
      </w:r>
      <w:r w:rsidRPr="00326E64">
        <w:rPr>
          <w:rFonts w:ascii="Times New Roman" w:eastAsia="Calibri" w:hAnsi="Times New Roman" w:cs="Times New Roman"/>
          <w:strike/>
        </w:rPr>
        <w:t>D</w:t>
      </w:r>
      <w:r w:rsidRPr="00326E64">
        <w:rPr>
          <w:rFonts w:ascii="Times New Roman" w:eastAsia="Calibri" w:hAnsi="Times New Roman" w:cs="Times New Roman"/>
        </w:rPr>
        <w:t>.2.a-</w:t>
      </w:r>
      <w:r w:rsidRPr="00326E64">
        <w:rPr>
          <w:rFonts w:ascii="Times New Roman" w:eastAsia="Calibri" w:hAnsi="Times New Roman" w:cs="Times New Roman"/>
          <w:strike/>
        </w:rPr>
        <w:t>j</w:t>
      </w:r>
      <w:r w:rsidRPr="00326E64">
        <w:rPr>
          <w:rFonts w:ascii="Times New Roman" w:eastAsia="Calibri" w:hAnsi="Times New Roman" w:cs="Times New Roman"/>
          <w:u w:val="single"/>
        </w:rPr>
        <w:t>g</w:t>
      </w:r>
      <w:r w:rsidRPr="00326E64">
        <w:rPr>
          <w:rFonts w:ascii="Times New Roman" w:eastAsia="Calibri" w:hAnsi="Times New Roman" w:cs="Times New Roman"/>
        </w:rPr>
        <w:t xml:space="preserve"> of this Section shall be met when bulk biosolids are applied to agricultural land, forest, a public contact site, or a reclamation site.</w:t>
      </w:r>
    </w:p>
    <w:p w14:paraId="38C7B44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 xml:space="preserve">One of the vector attraction reduction requirements in Subparagraphs </w:t>
      </w:r>
      <w:r w:rsidRPr="00326E64">
        <w:rPr>
          <w:rFonts w:ascii="Times New Roman" w:eastAsia="Calibri" w:hAnsi="Times New Roman" w:cs="Times New Roman"/>
          <w:u w:val="single"/>
        </w:rPr>
        <w:t>E</w:t>
      </w:r>
      <w:r w:rsidRPr="00326E64">
        <w:rPr>
          <w:rFonts w:ascii="Times New Roman" w:eastAsia="Calibri" w:hAnsi="Times New Roman" w:cs="Times New Roman"/>
          <w:strike/>
        </w:rPr>
        <w:t>D</w:t>
      </w:r>
      <w:r w:rsidRPr="00326E64">
        <w:rPr>
          <w:rFonts w:ascii="Times New Roman" w:eastAsia="Calibri" w:hAnsi="Times New Roman" w:cs="Times New Roman"/>
        </w:rPr>
        <w:t>.2.a-h of this Section shall be met when bulk biosolids are applied to a lawn or a home garden.</w:t>
      </w:r>
    </w:p>
    <w:p w14:paraId="605AE353"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c.</w:t>
      </w:r>
      <w:r w:rsidRPr="00326E64">
        <w:rPr>
          <w:rFonts w:ascii="Times New Roman" w:eastAsia="Calibri" w:hAnsi="Times New Roman" w:cs="Times New Roman"/>
        </w:rPr>
        <w:tab/>
        <w:t xml:space="preserve">One of the vector attraction reduction requirements in Subparagraphs </w:t>
      </w:r>
      <w:r w:rsidRPr="00326E64">
        <w:rPr>
          <w:rFonts w:ascii="Times New Roman" w:eastAsia="Calibri" w:hAnsi="Times New Roman" w:cs="Times New Roman"/>
          <w:u w:val="single"/>
        </w:rPr>
        <w:t>E</w:t>
      </w:r>
      <w:r w:rsidRPr="00326E64">
        <w:rPr>
          <w:rFonts w:ascii="Times New Roman" w:eastAsia="Calibri" w:hAnsi="Times New Roman" w:cs="Times New Roman"/>
          <w:strike/>
        </w:rPr>
        <w:t>D</w:t>
      </w:r>
      <w:r w:rsidRPr="00326E64">
        <w:rPr>
          <w:rFonts w:ascii="Times New Roman" w:eastAsia="Calibri" w:hAnsi="Times New Roman" w:cs="Times New Roman"/>
        </w:rPr>
        <w:t>.2.a-g of this Section shall be met when biosolids are sold or given away in a bag or other container for application to the land.</w:t>
      </w:r>
    </w:p>
    <w:p w14:paraId="19CFCC7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2.</w:t>
      </w:r>
      <w:r w:rsidRPr="00326E64">
        <w:rPr>
          <w:rFonts w:ascii="Times New Roman" w:eastAsia="Calibri" w:hAnsi="Times New Roman" w:cs="Times New Roman"/>
        </w:rPr>
        <w:tab/>
        <w:t>Procedures to Attain Vector Attraction Reduction for Land Application</w:t>
      </w:r>
    </w:p>
    <w:p w14:paraId="53E36E2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Volatile Solids Reduction</w:t>
      </w:r>
    </w:p>
    <w:p w14:paraId="5705E393"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w:t>
      </w:r>
      <w:r w:rsidRPr="00326E64">
        <w:rPr>
          <w:rFonts w:ascii="Times New Roman" w:eastAsia="Calibri" w:hAnsi="Times New Roman" w:cs="Times New Roman"/>
        </w:rPr>
        <w:tab/>
        <w:t xml:space="preserve">The mass of volatile solids in the biosolids shall be reduced by a minimum of 38 percent (see calculation procedures in </w:t>
      </w:r>
      <w:r w:rsidRPr="00326E64">
        <w:rPr>
          <w:rFonts w:ascii="Times New Roman" w:eastAsia="Calibri" w:hAnsi="Times New Roman" w:cs="Times New Roman"/>
          <w:i/>
        </w:rPr>
        <w:t>Environmental Regulations and Technology—Control of Pathogens and Vector Attraction in Sewage Sludge</w:t>
      </w:r>
      <w:r w:rsidRPr="00326E64">
        <w:rPr>
          <w:rFonts w:ascii="Times New Roman" w:eastAsia="Calibri" w:hAnsi="Times New Roman" w:cs="Times New Roman"/>
        </w:rPr>
        <w:t xml:space="preserve">, EPA-625/R-92/013, </w:t>
      </w:r>
      <w:r w:rsidRPr="00326E64">
        <w:rPr>
          <w:rFonts w:ascii="Times New Roman" w:eastAsia="Calibri" w:hAnsi="Times New Roman" w:cs="Times New Roman"/>
          <w:strike/>
        </w:rPr>
        <w:t>1992</w:t>
      </w:r>
      <w:r w:rsidRPr="00326E64">
        <w:rPr>
          <w:rFonts w:ascii="Times New Roman" w:eastAsia="Calibri" w:hAnsi="Times New Roman" w:cs="Times New Roman"/>
          <w:u w:val="single"/>
        </w:rPr>
        <w:t>(most recent edition)</w:t>
      </w:r>
      <w:r w:rsidRPr="00326E64">
        <w:rPr>
          <w:rFonts w:ascii="Times New Roman" w:eastAsia="Calibri" w:hAnsi="Times New Roman" w:cs="Times New Roman"/>
          <w:strike/>
        </w:rPr>
        <w:t>,</w:t>
      </w:r>
      <w:r w:rsidRPr="00326E64">
        <w:rPr>
          <w:rFonts w:ascii="Times New Roman" w:eastAsia="Calibri" w:hAnsi="Times New Roman" w:cs="Times New Roman"/>
        </w:rPr>
        <w:t xml:space="preserve"> U.S. Environmental Protection Agency</w:t>
      </w:r>
      <w:r w:rsidRPr="00326E64">
        <w:rPr>
          <w:rFonts w:ascii="Times New Roman" w:eastAsia="Calibri" w:hAnsi="Times New Roman" w:cs="Times New Roman"/>
          <w:strike/>
        </w:rPr>
        <w:t>, Cincinnati, Ohio 45268</w:t>
      </w:r>
      <w:r w:rsidRPr="00326E64">
        <w:rPr>
          <w:rFonts w:ascii="Times New Roman" w:eastAsia="Calibri" w:hAnsi="Times New Roman" w:cs="Times New Roman"/>
        </w:rPr>
        <w:t>).</w:t>
      </w:r>
    </w:p>
    <w:p w14:paraId="17F85F9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w:t>
      </w:r>
      <w:r w:rsidRPr="00326E64">
        <w:rPr>
          <w:rFonts w:ascii="Times New Roman" w:eastAsia="Calibri" w:hAnsi="Times New Roman" w:cs="Times New Roman"/>
        </w:rPr>
        <w:tab/>
        <w:t xml:space="preserve">When the 38 percent volatile solids reduction requirement in Clause </w:t>
      </w:r>
      <w:r w:rsidRPr="00326E64">
        <w:rPr>
          <w:rFonts w:ascii="Times New Roman" w:eastAsia="Calibri" w:hAnsi="Times New Roman" w:cs="Times New Roman"/>
          <w:u w:val="single"/>
        </w:rPr>
        <w:t>E</w:t>
      </w:r>
      <w:r w:rsidRPr="00326E64">
        <w:rPr>
          <w:rFonts w:ascii="Times New Roman" w:eastAsia="Calibri" w:hAnsi="Times New Roman" w:cs="Times New Roman"/>
          <w:strike/>
        </w:rPr>
        <w:t>D</w:t>
      </w:r>
      <w:r w:rsidRPr="00326E64">
        <w:rPr>
          <w:rFonts w:ascii="Times New Roman" w:eastAsia="Calibri" w:hAnsi="Times New Roman" w:cs="Times New Roman"/>
        </w:rPr>
        <w:t>.2.a.i of this Section cannot be met for an anaerobically digested sewage sludge, vector attraction reduction can be demonstrated by digesting a portion of the previously digested sewage sludge anaerobically in the laboratory in a bench-scale unit for 40 additional days at a temperature between 30˚ and 37˚C. When, at the end of the 40 days, the volatile solids in the sewage sludge at the beginning of that period is reduced by less than 17 percent, vector attraction reduction is achieved.</w:t>
      </w:r>
    </w:p>
    <w:p w14:paraId="2E77C78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iii.</w:t>
      </w:r>
      <w:r w:rsidRPr="00326E64">
        <w:rPr>
          <w:rFonts w:ascii="Times New Roman" w:eastAsia="Calibri" w:hAnsi="Times New Roman" w:cs="Times New Roman"/>
        </w:rPr>
        <w:tab/>
        <w:t xml:space="preserve">When the 38 percent volatile solids reduction requirement in Clause </w:t>
      </w:r>
      <w:r w:rsidRPr="00326E64">
        <w:rPr>
          <w:rFonts w:ascii="Times New Roman" w:eastAsia="Calibri" w:hAnsi="Times New Roman" w:cs="Times New Roman"/>
          <w:u w:val="single"/>
        </w:rPr>
        <w:t>E</w:t>
      </w:r>
      <w:r w:rsidRPr="00326E64">
        <w:rPr>
          <w:rFonts w:ascii="Times New Roman" w:eastAsia="Calibri" w:hAnsi="Times New Roman" w:cs="Times New Roman"/>
          <w:strike/>
        </w:rPr>
        <w:t>D</w:t>
      </w:r>
      <w:r w:rsidRPr="00326E64">
        <w:rPr>
          <w:rFonts w:ascii="Times New Roman" w:eastAsia="Calibri" w:hAnsi="Times New Roman" w:cs="Times New Roman"/>
        </w:rPr>
        <w:t>.2.a.i of this Section cannot be met for an aerobically digested sewage sludge, vector attraction reduction can be demonstrated by digesting a portion of the previously digested sewage sludge that has a percent solids of 2 percent or less aerobically in the laboratory in a bench-scale unit for 30 additional days at 20˚C. When at the end of the 30 days, the volatile solids in the sewage sludge at the beginning of that period is reduced by less than 15 percent, vector attraction reduction is achieved.</w:t>
      </w:r>
    </w:p>
    <w:p w14:paraId="442E24D7" w14:textId="77777777" w:rsidR="00326E64" w:rsidRPr="00326E64" w:rsidRDefault="00326E64" w:rsidP="00326E64">
      <w:pPr>
        <w:tabs>
          <w:tab w:val="left" w:pos="720"/>
        </w:tabs>
        <w:spacing w:line="480" w:lineRule="auto"/>
        <w:outlineLvl w:val="5"/>
        <w:rPr>
          <w:rFonts w:ascii="Times New Roman" w:eastAsia="Calibri" w:hAnsi="Times New Roman" w:cs="Times New Roman"/>
          <w:lang w:val="x-none" w:eastAsia="x-none"/>
        </w:rPr>
      </w:pP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t>b.</w:t>
      </w:r>
      <w:r w:rsidRPr="00326E64">
        <w:rPr>
          <w:rFonts w:ascii="Times New Roman" w:eastAsia="Calibri" w:hAnsi="Times New Roman" w:cs="Times New Roman"/>
          <w:lang w:val="x-none" w:eastAsia="x-none"/>
        </w:rPr>
        <w:tab/>
      </w:r>
      <w:r w:rsidRPr="00326E64">
        <w:rPr>
          <w:rFonts w:ascii="Times New Roman" w:eastAsia="Calibri" w:hAnsi="Times New Roman" w:cs="Times New Roman"/>
          <w:color w:val="000000"/>
          <w:lang w:val="x-none" w:eastAsia="x-none"/>
        </w:rPr>
        <w:t>Specific Oxygen Uptake Rate (SOUR).</w:t>
      </w:r>
      <w:r w:rsidRPr="00326E64">
        <w:rPr>
          <w:rFonts w:ascii="Times New Roman" w:eastAsia="Calibri" w:hAnsi="Times New Roman" w:cs="Times New Roman"/>
          <w:lang w:val="x-none" w:eastAsia="x-none"/>
        </w:rPr>
        <w:t xml:space="preserve"> The specific oxygen uptake rate (SOUR) for sewage sludge treated in an aerobic process shall be equal to or less than 1.5 milligrams of oxygen per hour per gram of total solids (dry weight basis) at a temperature of 20˚C.</w:t>
      </w:r>
    </w:p>
    <w:p w14:paraId="394818AF" w14:textId="77777777" w:rsidR="00326E64" w:rsidRPr="00326E64" w:rsidRDefault="00326E64" w:rsidP="00326E64">
      <w:pPr>
        <w:tabs>
          <w:tab w:val="left" w:pos="720"/>
        </w:tabs>
        <w:spacing w:line="480" w:lineRule="auto"/>
        <w:outlineLvl w:val="5"/>
        <w:rPr>
          <w:rFonts w:ascii="Times New Roman" w:eastAsia="Calibri" w:hAnsi="Times New Roman" w:cs="Times New Roman"/>
          <w:lang w:val="x-none" w:eastAsia="x-none"/>
        </w:rPr>
      </w:pP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t>c.</w:t>
      </w:r>
      <w:r w:rsidRPr="00326E64">
        <w:rPr>
          <w:rFonts w:ascii="Times New Roman" w:eastAsia="Calibri" w:hAnsi="Times New Roman" w:cs="Times New Roman"/>
          <w:lang w:val="x-none" w:eastAsia="x-none"/>
        </w:rPr>
        <w:tab/>
      </w:r>
      <w:r w:rsidRPr="00326E64">
        <w:rPr>
          <w:rFonts w:ascii="Times New Roman" w:eastAsia="Calibri" w:hAnsi="Times New Roman" w:cs="Times New Roman"/>
          <w:color w:val="000000"/>
          <w:lang w:val="x-none" w:eastAsia="x-none"/>
        </w:rPr>
        <w:t>Aerobic Treatment</w:t>
      </w:r>
      <w:r w:rsidRPr="00326E64">
        <w:rPr>
          <w:rFonts w:ascii="Times New Roman" w:eastAsia="Calibri" w:hAnsi="Times New Roman" w:cs="Times New Roman"/>
          <w:lang w:val="x-none" w:eastAsia="x-none"/>
        </w:rPr>
        <w:t>. Sewage sludge shall be treated in an aerobic process for 14 days or longer. During that time, the temperature of the sewage sludge shall be higher than 40˚C and the average temperature of the sewage sludge shall be higher than 45˚C.</w:t>
      </w:r>
    </w:p>
    <w:p w14:paraId="1DE7BD7B" w14:textId="77777777" w:rsidR="00326E64" w:rsidRPr="00326E64" w:rsidRDefault="00326E64" w:rsidP="00326E64">
      <w:pPr>
        <w:tabs>
          <w:tab w:val="left" w:pos="720"/>
        </w:tabs>
        <w:spacing w:line="480" w:lineRule="auto"/>
        <w:outlineLvl w:val="5"/>
        <w:rPr>
          <w:rFonts w:ascii="Times New Roman" w:eastAsia="Calibri" w:hAnsi="Times New Roman" w:cs="Times New Roman"/>
          <w:lang w:val="x-none" w:eastAsia="x-none"/>
        </w:rPr>
      </w:pP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t>d.</w:t>
      </w:r>
      <w:r w:rsidRPr="00326E64">
        <w:rPr>
          <w:rFonts w:ascii="Times New Roman" w:eastAsia="Calibri" w:hAnsi="Times New Roman" w:cs="Times New Roman"/>
          <w:lang w:val="x-none" w:eastAsia="x-none"/>
        </w:rPr>
        <w:tab/>
      </w:r>
      <w:r w:rsidRPr="00326E64">
        <w:rPr>
          <w:rFonts w:ascii="Times New Roman" w:eastAsia="Calibri" w:hAnsi="Times New Roman" w:cs="Times New Roman"/>
          <w:color w:val="000000"/>
          <w:lang w:val="x-none" w:eastAsia="x-none"/>
        </w:rPr>
        <w:t>Alkaline Treatment.</w:t>
      </w:r>
      <w:r w:rsidRPr="00326E64">
        <w:rPr>
          <w:rFonts w:ascii="Times New Roman" w:eastAsia="Calibri" w:hAnsi="Times New Roman" w:cs="Times New Roman"/>
          <w:lang w:val="x-none" w:eastAsia="x-none"/>
        </w:rPr>
        <w:t xml:space="preserve"> The pH of sewage sludge shall be raised to 12 or higher by alkali addition and, without the addition of more alkali, shall remain at 12 or higher for two hours and then at 11.5 or higher for an additional 22 hours.</w:t>
      </w:r>
    </w:p>
    <w:p w14:paraId="5E5CCB3C" w14:textId="77777777" w:rsidR="00326E64" w:rsidRPr="00326E64" w:rsidRDefault="00326E64" w:rsidP="00326E64">
      <w:pPr>
        <w:tabs>
          <w:tab w:val="left" w:pos="720"/>
        </w:tabs>
        <w:spacing w:line="480" w:lineRule="auto"/>
        <w:outlineLvl w:val="5"/>
        <w:rPr>
          <w:rFonts w:ascii="Times New Roman" w:eastAsia="Calibri" w:hAnsi="Times New Roman" w:cs="Times New Roman"/>
          <w:lang w:val="x-none" w:eastAsia="x-none"/>
        </w:rPr>
      </w:pP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t>e.</w:t>
      </w:r>
      <w:r w:rsidRPr="00326E64">
        <w:rPr>
          <w:rFonts w:ascii="Times New Roman" w:eastAsia="Calibri" w:hAnsi="Times New Roman" w:cs="Times New Roman"/>
          <w:lang w:val="x-none" w:eastAsia="x-none"/>
        </w:rPr>
        <w:tab/>
        <w:t>Percent Solids. In order to attain vector attraction reduction through percent solids, either of the following must be met:</w:t>
      </w:r>
    </w:p>
    <w:p w14:paraId="28ED9570" w14:textId="77777777" w:rsidR="00326E64" w:rsidRPr="00326E64" w:rsidRDefault="00326E64" w:rsidP="00326E64">
      <w:pPr>
        <w:tabs>
          <w:tab w:val="left" w:pos="720"/>
        </w:tabs>
        <w:spacing w:line="480" w:lineRule="auto"/>
        <w:outlineLvl w:val="5"/>
        <w:rPr>
          <w:rFonts w:ascii="Times New Roman" w:eastAsia="Calibri" w:hAnsi="Times New Roman" w:cs="Times New Roman"/>
          <w:lang w:val="x-none" w:eastAsia="x-none"/>
        </w:rPr>
      </w:pP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t>i.</w:t>
      </w:r>
      <w:r w:rsidRPr="00326E64">
        <w:rPr>
          <w:rFonts w:ascii="Times New Roman" w:eastAsia="Calibri" w:hAnsi="Times New Roman" w:cs="Times New Roman"/>
          <w:lang w:val="x-none" w:eastAsia="x-none"/>
        </w:rPr>
        <w:tab/>
        <w:t>the percent solids of sewage sludge that does not contain unstabilized solids generated in a primary wastewater treatment process shall be equal to or greater than 75 percent based on the moisture content and total solids prior to mixing with other materials; or</w:t>
      </w:r>
    </w:p>
    <w:p w14:paraId="3D8ABEF5" w14:textId="77777777" w:rsidR="00326E64" w:rsidRPr="00326E64" w:rsidRDefault="00326E64" w:rsidP="00326E64">
      <w:pPr>
        <w:tabs>
          <w:tab w:val="left" w:pos="720"/>
        </w:tabs>
        <w:spacing w:line="480" w:lineRule="auto"/>
        <w:outlineLvl w:val="5"/>
        <w:rPr>
          <w:rFonts w:ascii="Times New Roman" w:eastAsia="Calibri" w:hAnsi="Times New Roman" w:cs="Times New Roman"/>
          <w:lang w:val="x-none" w:eastAsia="x-none"/>
        </w:rPr>
      </w:pPr>
      <w:r w:rsidRPr="00326E64">
        <w:rPr>
          <w:rFonts w:ascii="Times New Roman" w:eastAsia="Calibri" w:hAnsi="Times New Roman" w:cs="Times New Roman"/>
          <w:lang w:val="x-none" w:eastAsia="x-none"/>
        </w:rPr>
        <w:lastRenderedPageBreak/>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t>ii.</w:t>
      </w:r>
      <w:r w:rsidRPr="00326E64">
        <w:rPr>
          <w:rFonts w:ascii="Times New Roman" w:eastAsia="Calibri" w:hAnsi="Times New Roman" w:cs="Times New Roman"/>
          <w:lang w:val="x-none" w:eastAsia="x-none"/>
        </w:rPr>
        <w:tab/>
        <w:t>the percent solids of sewage sludge that does contain unstabilized solids generated in a primary wastewater treatment process shall be equal to or greater than 90 percent based on the moisture content and total solids prior to mixing with other materials.</w:t>
      </w:r>
    </w:p>
    <w:p w14:paraId="0ECC8B9B" w14:textId="77777777" w:rsidR="00326E64" w:rsidRPr="00326E64" w:rsidRDefault="00326E64" w:rsidP="00326E64">
      <w:pPr>
        <w:tabs>
          <w:tab w:val="left" w:pos="720"/>
        </w:tabs>
        <w:spacing w:line="480" w:lineRule="auto"/>
        <w:outlineLvl w:val="5"/>
        <w:rPr>
          <w:rFonts w:ascii="Times New Roman" w:eastAsia="Calibri" w:hAnsi="Times New Roman" w:cs="Times New Roman"/>
          <w:lang w:val="x-none" w:eastAsia="x-none"/>
        </w:rPr>
      </w:pP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t>f.</w:t>
      </w:r>
      <w:r w:rsidRPr="00326E64">
        <w:rPr>
          <w:rFonts w:ascii="Times New Roman" w:eastAsia="Calibri" w:hAnsi="Times New Roman" w:cs="Times New Roman"/>
          <w:lang w:val="x-none" w:eastAsia="x-none"/>
        </w:rPr>
        <w:tab/>
        <w:t>Injection of Biosolids</w:t>
      </w:r>
    </w:p>
    <w:p w14:paraId="5814818A" w14:textId="77777777" w:rsidR="00326E64" w:rsidRPr="00326E64" w:rsidRDefault="00326E64" w:rsidP="00326E64">
      <w:pPr>
        <w:tabs>
          <w:tab w:val="left" w:pos="720"/>
        </w:tabs>
        <w:spacing w:line="480" w:lineRule="auto"/>
        <w:outlineLvl w:val="5"/>
        <w:rPr>
          <w:rFonts w:ascii="Times New Roman" w:eastAsia="Calibri" w:hAnsi="Times New Roman" w:cs="Times New Roman"/>
          <w:lang w:val="x-none" w:eastAsia="x-none"/>
        </w:rPr>
      </w:pP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t>i.</w:t>
      </w:r>
      <w:r w:rsidRPr="00326E64">
        <w:rPr>
          <w:rFonts w:ascii="Times New Roman" w:eastAsia="Calibri" w:hAnsi="Times New Roman" w:cs="Times New Roman"/>
          <w:lang w:val="x-none" w:eastAsia="x-none"/>
        </w:rPr>
        <w:tab/>
        <w:t>Biosolids shall be injected below the surface of the land.</w:t>
      </w:r>
    </w:p>
    <w:p w14:paraId="25BA68DF" w14:textId="77777777" w:rsidR="00326E64" w:rsidRPr="00326E64" w:rsidRDefault="00326E64" w:rsidP="00326E64">
      <w:pPr>
        <w:tabs>
          <w:tab w:val="left" w:pos="720"/>
        </w:tabs>
        <w:spacing w:line="480" w:lineRule="auto"/>
        <w:outlineLvl w:val="5"/>
        <w:rPr>
          <w:rFonts w:ascii="Times New Roman" w:eastAsia="Calibri" w:hAnsi="Times New Roman" w:cs="Times New Roman"/>
          <w:lang w:val="x-none" w:eastAsia="x-none"/>
        </w:rPr>
      </w:pP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t>ii.</w:t>
      </w:r>
      <w:r w:rsidRPr="00326E64">
        <w:rPr>
          <w:rFonts w:ascii="Times New Roman" w:eastAsia="Calibri" w:hAnsi="Times New Roman" w:cs="Times New Roman"/>
          <w:lang w:val="x-none" w:eastAsia="x-none"/>
        </w:rPr>
        <w:tab/>
        <w:t>No significant amount of biosolids shall be present on the land surface within one hour after the biosolids are injected.</w:t>
      </w:r>
    </w:p>
    <w:p w14:paraId="7B55EF67" w14:textId="77777777" w:rsidR="00326E64" w:rsidRPr="00326E64" w:rsidRDefault="00326E64" w:rsidP="00326E64">
      <w:pPr>
        <w:tabs>
          <w:tab w:val="left" w:pos="720"/>
        </w:tabs>
        <w:spacing w:line="480" w:lineRule="auto"/>
        <w:outlineLvl w:val="5"/>
        <w:rPr>
          <w:rFonts w:ascii="Times New Roman" w:eastAsia="Calibri" w:hAnsi="Times New Roman" w:cs="Times New Roman"/>
          <w:lang w:val="x-none" w:eastAsia="x-none"/>
        </w:rPr>
      </w:pP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t>iii.</w:t>
      </w:r>
      <w:r w:rsidRPr="00326E64">
        <w:rPr>
          <w:rFonts w:ascii="Times New Roman" w:eastAsia="Calibri" w:hAnsi="Times New Roman" w:cs="Times New Roman"/>
          <w:lang w:val="x-none" w:eastAsia="x-none"/>
        </w:rPr>
        <w:tab/>
        <w:t>When the biosolids that are injected below the surface of the land are Exceptional Quality biosolids with respect to pathogens, the biosolids shall be injected below the land surface within eight hours after being discharged from the pathogen treatment process.</w:t>
      </w:r>
    </w:p>
    <w:p w14:paraId="2ACE2BB2" w14:textId="77777777" w:rsidR="00326E64" w:rsidRPr="00326E64" w:rsidRDefault="00326E64" w:rsidP="00326E64">
      <w:pPr>
        <w:tabs>
          <w:tab w:val="left" w:pos="720"/>
        </w:tabs>
        <w:spacing w:line="480" w:lineRule="auto"/>
        <w:outlineLvl w:val="5"/>
        <w:rPr>
          <w:rFonts w:ascii="Times New Roman" w:eastAsia="Calibri" w:hAnsi="Times New Roman" w:cs="Times New Roman"/>
          <w:lang w:val="x-none" w:eastAsia="x-none"/>
        </w:rPr>
      </w:pP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t>g.</w:t>
      </w:r>
      <w:r w:rsidRPr="00326E64">
        <w:rPr>
          <w:rFonts w:ascii="Times New Roman" w:eastAsia="Calibri" w:hAnsi="Times New Roman" w:cs="Times New Roman"/>
          <w:lang w:val="x-none" w:eastAsia="x-none"/>
        </w:rPr>
        <w:tab/>
        <w:t>Incorporation of Biosolids</w:t>
      </w:r>
    </w:p>
    <w:p w14:paraId="426F0715" w14:textId="77777777" w:rsidR="00326E64" w:rsidRPr="00326E64" w:rsidRDefault="00326E64" w:rsidP="00326E64">
      <w:pPr>
        <w:tabs>
          <w:tab w:val="left" w:pos="720"/>
        </w:tabs>
        <w:spacing w:line="480" w:lineRule="auto"/>
        <w:outlineLvl w:val="5"/>
        <w:rPr>
          <w:rFonts w:ascii="Times New Roman" w:eastAsia="Calibri" w:hAnsi="Times New Roman" w:cs="Times New Roman"/>
          <w:lang w:val="x-none" w:eastAsia="x-none"/>
        </w:rPr>
      </w:pP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t>i.</w:t>
      </w:r>
      <w:r w:rsidRPr="00326E64">
        <w:rPr>
          <w:rFonts w:ascii="Times New Roman" w:eastAsia="Calibri" w:hAnsi="Times New Roman" w:cs="Times New Roman"/>
          <w:lang w:val="x-none" w:eastAsia="x-none"/>
        </w:rPr>
        <w:tab/>
        <w:t>Biosolids applied to the land surface shall be incorporated into the soil within six hours after application to the land, unless otherwise specified by the permitting authority.</w:t>
      </w:r>
    </w:p>
    <w:p w14:paraId="386F8C0B" w14:textId="77777777" w:rsidR="00326E64" w:rsidRPr="00326E64" w:rsidRDefault="00326E64" w:rsidP="00326E64">
      <w:pPr>
        <w:tabs>
          <w:tab w:val="left" w:pos="720"/>
        </w:tabs>
        <w:spacing w:line="480" w:lineRule="auto"/>
        <w:outlineLvl w:val="5"/>
        <w:rPr>
          <w:rFonts w:ascii="Times New Roman" w:eastAsia="Calibri" w:hAnsi="Times New Roman" w:cs="Times New Roman"/>
          <w:lang w:val="x-none" w:eastAsia="x-none"/>
        </w:rPr>
      </w:pP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r>
      <w:r w:rsidRPr="00326E64">
        <w:rPr>
          <w:rFonts w:ascii="Times New Roman" w:eastAsia="Calibri" w:hAnsi="Times New Roman" w:cs="Times New Roman"/>
          <w:lang w:val="x-none" w:eastAsia="x-none"/>
        </w:rPr>
        <w:tab/>
        <w:t>ii.</w:t>
      </w:r>
      <w:r w:rsidRPr="00326E64">
        <w:rPr>
          <w:rFonts w:ascii="Times New Roman" w:eastAsia="Calibri" w:hAnsi="Times New Roman" w:cs="Times New Roman"/>
          <w:lang w:val="x-none" w:eastAsia="x-none"/>
        </w:rPr>
        <w:tab/>
        <w:t>When biosolids that are incorporated into the soil are Exceptional Quality biosolids with respect to pathogens, the biosolids shall be applied to the land within eight hours after being discharged from the pathogen treatment process.</w:t>
      </w:r>
    </w:p>
    <w:p w14:paraId="2A5C4C8D"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AUTHORITY NOTE:</w:t>
      </w:r>
      <w:r w:rsidRPr="00326E64">
        <w:rPr>
          <w:rFonts w:ascii="Times New Roman" w:eastAsia="Calibri" w:hAnsi="Times New Roman" w:cs="Times New Roman"/>
        </w:rPr>
        <w:tab/>
        <w:t>Promulgated in accordance with R.S. 30:2074(B)(1)(c) and (B)(3)(e).</w:t>
      </w:r>
    </w:p>
    <w:p w14:paraId="31F18CCC"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HISTORICAL NOTE:</w:t>
      </w:r>
      <w:r w:rsidRPr="00326E64">
        <w:rPr>
          <w:rFonts w:ascii="Times New Roman" w:eastAsia="Calibri" w:hAnsi="Times New Roman" w:cs="Times New Roman"/>
        </w:rPr>
        <w:tab/>
        <w:t>Promulgated by the Department of Environmental Quality, Office of Environmental Assessment, Environmental Planning Division, LR 28:806 (April 2002), repromulgated LR 30:233 (February 2004), amended by the Office of the Secretary, Legal Affairs Division, LR 33:2395 (November 2007), LR 35:941 (May 2009)</w:t>
      </w:r>
      <w:r w:rsidRPr="00326E64">
        <w:rPr>
          <w:rFonts w:ascii="Times New Roman" w:eastAsia="Calibri" w:hAnsi="Times New Roman" w:cs="Times New Roman"/>
          <w:strike/>
        </w:rPr>
        <w:t>.</w:t>
      </w:r>
      <w:r w:rsidRPr="00326E64">
        <w:rPr>
          <w:rFonts w:ascii="Times New Roman" w:eastAsia="Calibri" w:hAnsi="Times New Roman" w:cs="Times New Roman"/>
        </w:rPr>
        <w:t>, amended by the Office of the Secretary, Legal Affairs Division, LR 51:</w:t>
      </w:r>
    </w:p>
    <w:p w14:paraId="1AB34434" w14:textId="77777777" w:rsidR="00326E64" w:rsidRPr="00326E64" w:rsidRDefault="00326E64" w:rsidP="00326E64">
      <w:pPr>
        <w:tabs>
          <w:tab w:val="left" w:pos="288"/>
        </w:tabs>
        <w:rPr>
          <w:rFonts w:ascii="Times New Roman" w:eastAsia="Calibri" w:hAnsi="Times New Roman" w:cs="Times New Roman"/>
        </w:rPr>
      </w:pPr>
    </w:p>
    <w:p w14:paraId="6A4C4D6A" w14:textId="77777777" w:rsidR="00326E64" w:rsidRPr="00326E64" w:rsidRDefault="00326E64" w:rsidP="00326E64">
      <w:pPr>
        <w:spacing w:line="480" w:lineRule="auto"/>
        <w:rPr>
          <w:rFonts w:ascii="Times New Roman" w:eastAsia="Calibri" w:hAnsi="Times New Roman" w:cs="Times New Roman"/>
          <w:b/>
        </w:rPr>
      </w:pPr>
      <w:bookmarkStart w:id="17" w:name="_Toc483475161"/>
      <w:r w:rsidRPr="00326E64">
        <w:rPr>
          <w:rFonts w:ascii="Times New Roman" w:eastAsia="Calibri" w:hAnsi="Times New Roman" w:cs="Times New Roman"/>
          <w:b/>
        </w:rPr>
        <w:lastRenderedPageBreak/>
        <w:t>§7311.</w:t>
      </w:r>
      <w:r w:rsidRPr="00326E64">
        <w:rPr>
          <w:rFonts w:ascii="Times New Roman" w:eastAsia="Calibri" w:hAnsi="Times New Roman" w:cs="Times New Roman"/>
          <w:b/>
        </w:rPr>
        <w:tab/>
        <w:t xml:space="preserve">Incineration </w:t>
      </w:r>
      <w:r w:rsidRPr="00326E64">
        <w:rPr>
          <w:rFonts w:ascii="Times New Roman" w:eastAsia="Calibri" w:hAnsi="Times New Roman" w:cs="Times New Roman"/>
          <w:b/>
          <w:strike/>
        </w:rPr>
        <w:t>[Formerly §6911</w:t>
      </w:r>
      <w:r w:rsidRPr="00326E64">
        <w:rPr>
          <w:rFonts w:ascii="Times New Roman" w:eastAsia="Calibri" w:hAnsi="Times New Roman" w:cs="Times New Roman"/>
          <w:b/>
        </w:rPr>
        <w:t>]</w:t>
      </w:r>
      <w:bookmarkEnd w:id="17"/>
    </w:p>
    <w:p w14:paraId="0C42C323"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t>A. — C.2.f.</w:t>
      </w:r>
      <w:r w:rsidRPr="00326E64">
        <w:rPr>
          <w:rFonts w:ascii="Times New Roman" w:eastAsia="Calibri" w:hAnsi="Times New Roman" w:cs="Times New Roman"/>
        </w:rPr>
        <w:tab/>
        <w:t>…</w:t>
      </w:r>
    </w:p>
    <w:p w14:paraId="7844D13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3.</w:t>
      </w:r>
      <w:r w:rsidRPr="00326E64">
        <w:rPr>
          <w:rFonts w:ascii="Times New Roman" w:eastAsia="Calibri" w:hAnsi="Times New Roman" w:cs="Times New Roman"/>
        </w:rPr>
        <w:tab/>
        <w:t>In conducting the performance tests required in Paragraph C.2 of this Section, the owner or operator shall use as reference methods and procedures the test methods referenced in LAC 33:IX.7301.</w:t>
      </w:r>
      <w:r w:rsidRPr="00326E64">
        <w:rPr>
          <w:rFonts w:ascii="Times New Roman" w:eastAsia="Calibri" w:hAnsi="Times New Roman" w:cs="Times New Roman"/>
          <w:u w:val="single"/>
        </w:rPr>
        <w:t>K</w:t>
      </w:r>
      <w:r w:rsidRPr="00326E64">
        <w:rPr>
          <w:rFonts w:ascii="Times New Roman" w:eastAsia="Calibri" w:hAnsi="Times New Roman" w:cs="Times New Roman"/>
          <w:strike/>
        </w:rPr>
        <w:t>I</w:t>
      </w:r>
      <w:r w:rsidRPr="00326E64">
        <w:rPr>
          <w:rFonts w:ascii="Times New Roman" w:eastAsia="Calibri" w:hAnsi="Times New Roman" w:cs="Times New Roman"/>
        </w:rPr>
        <w:t xml:space="preserve"> or other methods and procedures as specified in this Section, except as provided for in Subparagraph C.2.b of this Section.</w:t>
      </w:r>
    </w:p>
    <w:p w14:paraId="031AC0A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 xml:space="preserve">C.4 </w:t>
      </w:r>
      <w:r w:rsidRPr="00326E64">
        <w:rPr>
          <w:rFonts w:ascii="Times New Roman" w:eastAsia="Calibri" w:hAnsi="Times New Roman" w:cs="Times New Roman"/>
        </w:rPr>
        <w:softHyphen/>
      </w:r>
      <w:r w:rsidRPr="00326E64">
        <w:rPr>
          <w:rFonts w:ascii="Times New Roman" w:eastAsia="Calibri" w:hAnsi="Times New Roman" w:cs="Times New Roman"/>
        </w:rPr>
        <w:softHyphen/>
        <w:t>— D.6.b.iv.</w:t>
      </w:r>
      <w:r w:rsidRPr="00326E64">
        <w:rPr>
          <w:rFonts w:ascii="Times New Roman" w:eastAsia="Calibri" w:hAnsi="Times New Roman" w:cs="Times New Roman"/>
        </w:rPr>
        <w:tab/>
        <w:t>…</w:t>
      </w:r>
    </w:p>
    <w:p w14:paraId="345CF3B9" w14:textId="77777777" w:rsidR="00326E64" w:rsidRPr="00326E64" w:rsidRDefault="00326E64" w:rsidP="00326E64">
      <w:pPr>
        <w:spacing w:line="480" w:lineRule="auto"/>
        <w:jc w:val="center"/>
        <w:rPr>
          <w:rFonts w:ascii="Times New Roman" w:eastAsia="Calibri" w:hAnsi="Times New Roman" w:cs="Times New Roman"/>
        </w:rPr>
      </w:pPr>
      <w:r w:rsidRPr="00326E64">
        <w:rPr>
          <w:rFonts w:ascii="Times New Roman" w:eastAsia="Calibri" w:hAnsi="Times New Roman" w:cs="Times New Roman"/>
        </w:rPr>
        <w:t>* * *</w:t>
      </w:r>
    </w:p>
    <w:p w14:paraId="6CFED720" w14:textId="77777777" w:rsidR="00326E64" w:rsidRPr="00326E64" w:rsidRDefault="00326E64" w:rsidP="00326E64">
      <w:pPr>
        <w:tabs>
          <w:tab w:val="left" w:pos="2880"/>
        </w:tabs>
        <w:spacing w:line="480" w:lineRule="auto"/>
        <w:rPr>
          <w:rFonts w:ascii="Times New Roman" w:eastAsia="Calibri" w:hAnsi="Times New Roman" w:cs="Times New Roman"/>
        </w:rPr>
      </w:pPr>
      <w:r w:rsidRPr="00326E64">
        <w:rPr>
          <w:rFonts w:ascii="Times New Roman" w:eastAsia="Calibri" w:hAnsi="Times New Roman" w:cs="Times New Roman"/>
        </w:rPr>
        <w:tab/>
        <w:t>v.</w:t>
      </w:r>
      <w:r w:rsidRPr="00326E64">
        <w:rPr>
          <w:rFonts w:ascii="Times New Roman" w:eastAsia="Calibri" w:hAnsi="Times New Roman" w:cs="Times New Roman"/>
        </w:rPr>
        <w:tab/>
        <w:t>samples of the sewage sludge charged to the incinerator shall be collected in nonporous jars at the beginning of each run and at approximately 1-hour intervals thereafter until the test ends, and Part 2540, G. Total Fixed, and Volatile Solids in Solid and Semisolid Samples (the test method indicated in LAC 33:IX.7301.</w:t>
      </w:r>
      <w:r w:rsidRPr="00326E64">
        <w:rPr>
          <w:rFonts w:ascii="Times New Roman" w:eastAsia="Calibri" w:hAnsi="Times New Roman" w:cs="Times New Roman"/>
          <w:u w:val="single"/>
        </w:rPr>
        <w:t>K</w:t>
      </w:r>
      <w:r w:rsidRPr="00326E64">
        <w:rPr>
          <w:rFonts w:ascii="Times New Roman" w:eastAsia="Calibri" w:hAnsi="Times New Roman" w:cs="Times New Roman"/>
          <w:strike/>
        </w:rPr>
        <w:t>I</w:t>
      </w:r>
      <w:r w:rsidRPr="00326E64">
        <w:rPr>
          <w:rFonts w:ascii="Times New Roman" w:eastAsia="Calibri" w:hAnsi="Times New Roman" w:cs="Times New Roman"/>
        </w:rPr>
        <w:t>.2.</w:t>
      </w:r>
      <w:r w:rsidRPr="00326E64">
        <w:rPr>
          <w:rFonts w:ascii="Times New Roman" w:eastAsia="Calibri" w:hAnsi="Times New Roman" w:cs="Times New Roman"/>
          <w:u w:val="single"/>
        </w:rPr>
        <w:t>a</w:t>
      </w:r>
      <w:r w:rsidRPr="00326E64">
        <w:rPr>
          <w:rFonts w:ascii="Times New Roman" w:eastAsia="Calibri" w:hAnsi="Times New Roman" w:cs="Times New Roman"/>
          <w:strike/>
        </w:rPr>
        <w:t>g</w:t>
      </w:r>
      <w:r w:rsidRPr="00326E64">
        <w:rPr>
          <w:rFonts w:ascii="Times New Roman" w:eastAsia="Calibri" w:hAnsi="Times New Roman" w:cs="Times New Roman"/>
          <w:u w:val="single"/>
        </w:rPr>
        <w:t>.vii</w:t>
      </w:r>
      <w:r w:rsidRPr="00326E64">
        <w:rPr>
          <w:rFonts w:ascii="Times New Roman" w:eastAsia="Calibri" w:hAnsi="Times New Roman" w:cs="Times New Roman"/>
        </w:rPr>
        <w:t>) shall be used to determine dry sewage sludge content of each sample (total solids residue), except that:</w:t>
      </w:r>
    </w:p>
    <w:p w14:paraId="078FCC15" w14:textId="77777777" w:rsidR="00326E64" w:rsidRPr="00326E64" w:rsidRDefault="00326E64" w:rsidP="00326E64">
      <w:pPr>
        <w:tabs>
          <w:tab w:val="left" w:pos="1440"/>
          <w:tab w:val="left" w:pos="2880"/>
        </w:tabs>
        <w:spacing w:line="480" w:lineRule="auto"/>
        <w:rPr>
          <w:rFonts w:ascii="Times New Roman" w:eastAsia="Calibri" w:hAnsi="Times New Roman" w:cs="Times New Roman"/>
        </w:rPr>
      </w:pPr>
      <w:r w:rsidRPr="00326E64">
        <w:rPr>
          <w:rFonts w:ascii="Times New Roman" w:eastAsia="Calibri" w:hAnsi="Times New Roman" w:cs="Times New Roman"/>
        </w:rPr>
        <w:tab/>
        <w:t>D.6.v.(a). — I.5.</w:t>
      </w:r>
      <w:r w:rsidRPr="00326E64">
        <w:rPr>
          <w:rFonts w:ascii="Times New Roman" w:eastAsia="Calibri" w:hAnsi="Times New Roman" w:cs="Times New Roman"/>
        </w:rPr>
        <w:tab/>
        <w:t>…</w:t>
      </w:r>
    </w:p>
    <w:p w14:paraId="3294F302"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AUTHORITY NOTE:</w:t>
      </w:r>
      <w:r w:rsidRPr="00326E64">
        <w:rPr>
          <w:rFonts w:ascii="Times New Roman" w:eastAsia="Calibri" w:hAnsi="Times New Roman" w:cs="Times New Roman"/>
        </w:rPr>
        <w:tab/>
        <w:t>Promulgated in accordance with R.S. 30:2074(B)(1)(c) and (B)(3)(e).</w:t>
      </w:r>
    </w:p>
    <w:p w14:paraId="173B621B"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HISTORICAL NOTE:</w:t>
      </w:r>
      <w:r w:rsidRPr="00326E64">
        <w:rPr>
          <w:rFonts w:ascii="Times New Roman" w:eastAsia="Calibri" w:hAnsi="Times New Roman" w:cs="Times New Roman"/>
        </w:rPr>
        <w:tab/>
        <w:t>Promulgated by the Department of Environmental Quality, Office of Environmental Assessment, Environmental Planning Division, LR 28:809 (April 2002), repromulgated LR 30:233 (February 2004), amended by the Office of the Secretary, Legal Affairs Division, LR 33:2399 (November 2007)</w:t>
      </w:r>
      <w:r w:rsidRPr="00326E64">
        <w:rPr>
          <w:rFonts w:ascii="Times New Roman" w:eastAsia="Calibri" w:hAnsi="Times New Roman" w:cs="Times New Roman"/>
          <w:strike/>
        </w:rPr>
        <w:t>.</w:t>
      </w:r>
      <w:r w:rsidRPr="00326E64">
        <w:rPr>
          <w:rFonts w:ascii="Times New Roman" w:eastAsia="Calibri" w:hAnsi="Times New Roman" w:cs="Times New Roman"/>
        </w:rPr>
        <w:t>, amended by the Office of the Secretary, Legal Affairs Division, LR 51:</w:t>
      </w:r>
    </w:p>
    <w:p w14:paraId="5C2F5922" w14:textId="77777777" w:rsidR="00326E64" w:rsidRPr="00326E64" w:rsidRDefault="00326E64" w:rsidP="00326E64">
      <w:pPr>
        <w:tabs>
          <w:tab w:val="left" w:pos="288"/>
        </w:tabs>
        <w:rPr>
          <w:rFonts w:ascii="Times New Roman" w:eastAsia="Calibri" w:hAnsi="Times New Roman" w:cs="Times New Roman"/>
        </w:rPr>
      </w:pPr>
    </w:p>
    <w:p w14:paraId="1F7B5774" w14:textId="77777777" w:rsidR="00326E64" w:rsidRPr="00326E64" w:rsidRDefault="00326E64" w:rsidP="00326E64">
      <w:pPr>
        <w:spacing w:line="480" w:lineRule="auto"/>
        <w:rPr>
          <w:rFonts w:ascii="Times New Roman" w:eastAsia="Calibri" w:hAnsi="Times New Roman" w:cs="Times New Roman"/>
          <w:b/>
        </w:rPr>
      </w:pPr>
      <w:bookmarkStart w:id="18" w:name="_Toc483475162"/>
      <w:r w:rsidRPr="00326E64">
        <w:rPr>
          <w:rFonts w:ascii="Times New Roman" w:eastAsia="Calibri" w:hAnsi="Times New Roman" w:cs="Times New Roman"/>
          <w:b/>
        </w:rPr>
        <w:t>§7313.</w:t>
      </w:r>
      <w:r w:rsidRPr="00326E64">
        <w:rPr>
          <w:rFonts w:ascii="Times New Roman" w:eastAsia="Calibri" w:hAnsi="Times New Roman" w:cs="Times New Roman"/>
          <w:b/>
        </w:rPr>
        <w:tab/>
        <w:t>Standard Conditions Applicable to All Sewage Sludge and Biosolids Use or Disposal Permits</w:t>
      </w:r>
      <w:bookmarkEnd w:id="18"/>
    </w:p>
    <w:p w14:paraId="59D6B86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t>A. — A.4.b.</w:t>
      </w:r>
      <w:r w:rsidRPr="00326E64">
        <w:rPr>
          <w:rFonts w:ascii="Times New Roman" w:eastAsia="Calibri" w:hAnsi="Times New Roman" w:cs="Times New Roman"/>
        </w:rPr>
        <w:tab/>
        <w:t>…</w:t>
      </w:r>
    </w:p>
    <w:p w14:paraId="1D6D619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5.</w:t>
      </w:r>
      <w:r w:rsidRPr="00326E64">
        <w:rPr>
          <w:rFonts w:ascii="Times New Roman" w:eastAsia="Calibri" w:hAnsi="Times New Roman" w:cs="Times New Roman"/>
        </w:rPr>
        <w:tab/>
        <w:t xml:space="preserve">Duty to Reapply for an Individual Permit. If the permittee wishes to continue an activity regulated by an existing permit after the expiration date of that permit, the </w:t>
      </w:r>
      <w:r w:rsidRPr="00326E64">
        <w:rPr>
          <w:rFonts w:ascii="Times New Roman" w:eastAsia="Calibri" w:hAnsi="Times New Roman" w:cs="Times New Roman"/>
        </w:rPr>
        <w:lastRenderedPageBreak/>
        <w:t xml:space="preserve">permittee must apply for and obtain a new permit. The new application shall be submitted at least 180 days before the expiration date of the existing permit, unless permission for a later date has been granted by the administrative authority. </w:t>
      </w:r>
      <w:r w:rsidRPr="00326E64">
        <w:rPr>
          <w:rFonts w:ascii="Times New Roman" w:eastAsia="Calibri" w:hAnsi="Times New Roman" w:cs="Times New Roman"/>
          <w:strike/>
        </w:rPr>
        <w:t>(</w:t>
      </w:r>
      <w:r w:rsidRPr="00326E64">
        <w:rPr>
          <w:rFonts w:ascii="Times New Roman" w:eastAsia="Calibri" w:hAnsi="Times New Roman" w:cs="Times New Roman"/>
        </w:rPr>
        <w:t>The administrative authority shall not grant permission for applications to be submitted later than the expiration date of the existing permit.</w:t>
      </w:r>
      <w:r w:rsidRPr="00326E64">
        <w:rPr>
          <w:rFonts w:ascii="Times New Roman" w:eastAsia="Calibri" w:hAnsi="Times New Roman" w:cs="Times New Roman"/>
          <w:strike/>
        </w:rPr>
        <w:t>)</w:t>
      </w:r>
      <w:r w:rsidRPr="00326E64">
        <w:rPr>
          <w:rFonts w:ascii="Times New Roman" w:eastAsia="Calibri" w:hAnsi="Times New Roman" w:cs="Times New Roman"/>
        </w:rPr>
        <w:t xml:space="preserve"> A permit that was issued in accordance with these regulations and that has expired shall be administratively continued until such time as a decision on an application to continue an activity under the permit has been issued by the administrative authority, if the application was received by the department at least 180 days prior to the permit expiration.</w:t>
      </w:r>
    </w:p>
    <w:p w14:paraId="0846E39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6.</w:t>
      </w:r>
      <w:r w:rsidRPr="00326E64">
        <w:rPr>
          <w:rFonts w:ascii="Times New Roman" w:eastAsia="Calibri" w:hAnsi="Times New Roman" w:cs="Times New Roman"/>
        </w:rPr>
        <w:tab/>
        <w:t>Permit Action</w:t>
      </w:r>
      <w:r w:rsidRPr="00326E64">
        <w:rPr>
          <w:rFonts w:ascii="Times New Roman" w:eastAsia="Calibri" w:hAnsi="Times New Roman" w:cs="Times New Roman"/>
          <w:strike/>
        </w:rPr>
        <w:t>.</w:t>
      </w:r>
    </w:p>
    <w:p w14:paraId="2294B3C7"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 xml:space="preserve">Termination of Permit. </w:t>
      </w:r>
      <w:r w:rsidRPr="00326E64">
        <w:rPr>
          <w:rFonts w:ascii="Times New Roman" w:eastAsia="Calibri" w:hAnsi="Times New Roman" w:cs="Times New Roman"/>
        </w:rPr>
        <w:t>The conditions set forth in LAC 33:IX.</w:t>
      </w:r>
      <w:r w:rsidRPr="00326E64">
        <w:rPr>
          <w:rFonts w:ascii="Times New Roman" w:eastAsia="Calibri" w:hAnsi="Times New Roman" w:cs="Times New Roman"/>
          <w:strike/>
        </w:rPr>
        <w:t>2903, 2905,</w:t>
      </w:r>
      <w:r w:rsidRPr="00326E64">
        <w:rPr>
          <w:rFonts w:ascii="Times New Roman" w:eastAsia="Calibri" w:hAnsi="Times New Roman" w:cs="Times New Roman"/>
        </w:rPr>
        <w:t xml:space="preserve"> 2907, 3105, and 6509 as causes for </w:t>
      </w:r>
      <w:r w:rsidRPr="00326E64">
        <w:rPr>
          <w:rFonts w:ascii="Times New Roman" w:eastAsia="Calibri" w:hAnsi="Times New Roman" w:cs="Times New Roman"/>
          <w:strike/>
        </w:rPr>
        <w:t xml:space="preserve">modification, revocation and reissuance, and </w:t>
      </w:r>
      <w:r w:rsidRPr="00326E64">
        <w:rPr>
          <w:rFonts w:ascii="Times New Roman" w:eastAsia="Calibri" w:hAnsi="Times New Roman" w:cs="Times New Roman"/>
        </w:rPr>
        <w:t>termination of a permit shall apply to permits issued in accordance with these regulations.</w:t>
      </w:r>
    </w:p>
    <w:p w14:paraId="3DC19011" w14:textId="77777777" w:rsidR="00326E64" w:rsidRPr="00326E64" w:rsidRDefault="00326E64" w:rsidP="00326E64">
      <w:pPr>
        <w:keepNext/>
        <w:keepLines/>
        <w:spacing w:line="480" w:lineRule="auto"/>
        <w:ind w:left="720" w:hanging="720"/>
        <w:outlineLvl w:val="2"/>
        <w:rPr>
          <w:rFonts w:ascii="Times New Roman" w:eastAsia="Times New Roman" w:hAnsi="Times New Roman" w:cs="Times New Roman"/>
          <w:kern w:val="2"/>
        </w:rPr>
      </w:pPr>
      <w:r w:rsidRPr="00326E64">
        <w:rPr>
          <w:rFonts w:ascii="Times New Roman" w:eastAsia="Times New Roman" w:hAnsi="Times New Roman" w:cs="Times New Roman"/>
          <w:b/>
          <w:kern w:val="2"/>
        </w:rPr>
        <w:tab/>
      </w:r>
      <w:r w:rsidRPr="00326E64">
        <w:rPr>
          <w:rFonts w:ascii="Times New Roman" w:eastAsia="Times New Roman" w:hAnsi="Times New Roman" w:cs="Times New Roman"/>
          <w:b/>
          <w:kern w:val="2"/>
        </w:rPr>
        <w:tab/>
      </w:r>
      <w:r w:rsidRPr="00326E64">
        <w:rPr>
          <w:rFonts w:ascii="Times New Roman" w:eastAsia="Times New Roman" w:hAnsi="Times New Roman" w:cs="Times New Roman"/>
          <w:b/>
          <w:kern w:val="2"/>
        </w:rPr>
        <w:tab/>
      </w:r>
      <w:r w:rsidRPr="00326E64">
        <w:rPr>
          <w:rFonts w:ascii="Times New Roman" w:eastAsia="Times New Roman" w:hAnsi="Times New Roman" w:cs="Times New Roman"/>
          <w:kern w:val="2"/>
          <w:u w:val="single"/>
        </w:rPr>
        <w:t>b.</w:t>
      </w:r>
      <w:r w:rsidRPr="00326E64">
        <w:rPr>
          <w:rFonts w:ascii="Times New Roman" w:eastAsia="Times New Roman" w:hAnsi="Times New Roman" w:cs="Times New Roman"/>
          <w:kern w:val="2"/>
          <w:u w:val="single"/>
        </w:rPr>
        <w:tab/>
        <w:t>Modification, Revocation and Reissuance</w:t>
      </w:r>
    </w:p>
    <w:p w14:paraId="45C0AD8C" w14:textId="77777777" w:rsidR="00326E64" w:rsidRPr="00326E64" w:rsidRDefault="00326E64" w:rsidP="00326E64">
      <w:pPr>
        <w:spacing w:line="480" w:lineRule="auto"/>
        <w:ind w:firstLine="187"/>
        <w:outlineLvl w:val="3"/>
        <w:rPr>
          <w:rFonts w:ascii="Times New Roman" w:eastAsia="Times New Roman" w:hAnsi="Times New Roman" w:cs="Times New Roman"/>
          <w:kern w:val="2"/>
          <w:lang w:val="x-none" w:eastAsia="x-none"/>
        </w:rPr>
      </w:pP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u w:val="single"/>
          <w:lang w:eastAsia="x-none"/>
        </w:rPr>
        <w:t>i.</w:t>
      </w:r>
      <w:r w:rsidRPr="00326E64">
        <w:rPr>
          <w:rFonts w:ascii="Times New Roman" w:eastAsia="Times New Roman" w:hAnsi="Times New Roman" w:cs="Times New Roman"/>
          <w:kern w:val="2"/>
          <w:u w:val="single"/>
          <w:lang w:val="x-none" w:eastAsia="x-none"/>
        </w:rPr>
        <w:tab/>
        <w:t xml:space="preserve">Any permittee shall report to the </w:t>
      </w:r>
      <w:r w:rsidRPr="00326E64">
        <w:rPr>
          <w:rFonts w:ascii="Times New Roman" w:eastAsia="Times New Roman" w:hAnsi="Times New Roman" w:cs="Times New Roman"/>
          <w:kern w:val="2"/>
          <w:u w:val="single"/>
          <w:lang w:eastAsia="x-none"/>
        </w:rPr>
        <w:t xml:space="preserve">administrative authority </w:t>
      </w:r>
      <w:r w:rsidRPr="00326E64">
        <w:rPr>
          <w:rFonts w:ascii="Times New Roman" w:eastAsia="Times New Roman" w:hAnsi="Times New Roman" w:cs="Times New Roman"/>
          <w:kern w:val="2"/>
          <w:u w:val="single"/>
          <w:lang w:val="x-none" w:eastAsia="x-none"/>
        </w:rPr>
        <w:t>any facility changes</w:t>
      </w:r>
      <w:r w:rsidRPr="00326E64">
        <w:rPr>
          <w:rFonts w:ascii="Times New Roman" w:eastAsia="Times New Roman" w:hAnsi="Times New Roman" w:cs="Times New Roman"/>
          <w:kern w:val="2"/>
          <w:u w:val="single"/>
          <w:lang w:eastAsia="x-none"/>
        </w:rPr>
        <w:t xml:space="preserve"> in the specific use or disposal practices, the storage, the treatment, or the appropriate transportation of sewage sludge and/or biosolids.  Any such changes that are expected to last in excess of </w:t>
      </w:r>
      <w:r w:rsidRPr="00326E64">
        <w:rPr>
          <w:rFonts w:ascii="Times New Roman" w:eastAsia="Times New Roman" w:hAnsi="Times New Roman" w:cs="Times New Roman"/>
          <w:kern w:val="2"/>
          <w:u w:val="single"/>
          <w:lang w:val="x-none" w:eastAsia="x-none"/>
        </w:rPr>
        <w:t>180 day</w:t>
      </w:r>
      <w:r w:rsidRPr="00326E64">
        <w:rPr>
          <w:rFonts w:ascii="Times New Roman" w:eastAsia="Times New Roman" w:hAnsi="Times New Roman" w:cs="Times New Roman"/>
          <w:kern w:val="2"/>
          <w:u w:val="single"/>
          <w:lang w:eastAsia="x-none"/>
        </w:rPr>
        <w:t xml:space="preserve">s shall be reported by submission of a modified permit application or by submission of notice to the administrative authority </w:t>
      </w:r>
      <w:r w:rsidRPr="00326E64">
        <w:rPr>
          <w:rFonts w:ascii="Times New Roman" w:eastAsia="Times New Roman" w:hAnsi="Times New Roman" w:cs="Times New Roman"/>
          <w:kern w:val="2"/>
          <w:u w:val="single"/>
          <w:lang w:val="x-none" w:eastAsia="x-none"/>
        </w:rPr>
        <w:t xml:space="preserve">of the nature of such facility changes. The permittee shall not commence any facility </w:t>
      </w:r>
      <w:r w:rsidRPr="00326E64">
        <w:rPr>
          <w:rFonts w:ascii="Times New Roman" w:eastAsia="Times New Roman" w:hAnsi="Times New Roman" w:cs="Times New Roman"/>
          <w:kern w:val="2"/>
          <w:u w:val="single"/>
          <w:lang w:eastAsia="x-none"/>
        </w:rPr>
        <w:t xml:space="preserve">changes in disposal practices, storage, treatment, or transportation of sewage sludge and/or biosolids </w:t>
      </w:r>
      <w:r w:rsidRPr="00326E64">
        <w:rPr>
          <w:rFonts w:ascii="Times New Roman" w:eastAsia="Times New Roman" w:hAnsi="Times New Roman" w:cs="Times New Roman"/>
          <w:kern w:val="2"/>
          <w:u w:val="single"/>
          <w:lang w:val="x-none" w:eastAsia="x-none"/>
        </w:rPr>
        <w:t xml:space="preserve">without receiving a modified </w:t>
      </w:r>
      <w:r w:rsidRPr="00326E64">
        <w:rPr>
          <w:rFonts w:ascii="Times New Roman" w:eastAsia="Times New Roman" w:hAnsi="Times New Roman" w:cs="Times New Roman"/>
          <w:kern w:val="2"/>
          <w:u w:val="single"/>
          <w:lang w:eastAsia="x-none"/>
        </w:rPr>
        <w:t xml:space="preserve">Sewage Sludge and Biosolids Use or Disposal permit or </w:t>
      </w:r>
      <w:r w:rsidRPr="00326E64">
        <w:rPr>
          <w:rFonts w:ascii="Times New Roman" w:eastAsia="Times New Roman" w:hAnsi="Times New Roman" w:cs="Times New Roman"/>
          <w:kern w:val="2"/>
          <w:u w:val="single"/>
          <w:lang w:val="x-none" w:eastAsia="x-none"/>
        </w:rPr>
        <w:t xml:space="preserve">written authorization from the </w:t>
      </w:r>
      <w:r w:rsidRPr="00326E64">
        <w:rPr>
          <w:rFonts w:ascii="Times New Roman" w:eastAsia="Times New Roman" w:hAnsi="Times New Roman" w:cs="Times New Roman"/>
          <w:kern w:val="2"/>
          <w:u w:val="single"/>
          <w:lang w:eastAsia="x-none"/>
        </w:rPr>
        <w:t>administrative authority</w:t>
      </w:r>
      <w:r w:rsidRPr="00326E64">
        <w:rPr>
          <w:rFonts w:ascii="Times New Roman" w:eastAsia="Times New Roman" w:hAnsi="Times New Roman" w:cs="Times New Roman"/>
          <w:kern w:val="2"/>
          <w:u w:val="single"/>
          <w:lang w:val="x-none" w:eastAsia="x-none"/>
        </w:rPr>
        <w:t xml:space="preserve">. The provisions of this Subsection shall not apply to facility changes that were considered </w:t>
      </w:r>
      <w:r w:rsidRPr="00326E64">
        <w:rPr>
          <w:rFonts w:ascii="Times New Roman" w:eastAsia="Times New Roman" w:hAnsi="Times New Roman" w:cs="Times New Roman"/>
          <w:kern w:val="2"/>
          <w:u w:val="single"/>
          <w:lang w:eastAsia="x-none"/>
        </w:rPr>
        <w:t xml:space="preserve">and approved </w:t>
      </w:r>
      <w:r w:rsidRPr="00326E64">
        <w:rPr>
          <w:rFonts w:ascii="Times New Roman" w:eastAsia="Times New Roman" w:hAnsi="Times New Roman" w:cs="Times New Roman"/>
          <w:kern w:val="2"/>
          <w:u w:val="single"/>
          <w:lang w:val="x-none" w:eastAsia="x-none"/>
        </w:rPr>
        <w:t>during the permitting process.</w:t>
      </w:r>
    </w:p>
    <w:p w14:paraId="0BCEB7BE" w14:textId="77777777" w:rsidR="00326E64" w:rsidRPr="00326E64" w:rsidRDefault="00326E64" w:rsidP="00326E64">
      <w:pPr>
        <w:spacing w:line="480" w:lineRule="auto"/>
        <w:ind w:firstLine="187"/>
        <w:outlineLvl w:val="3"/>
        <w:rPr>
          <w:rFonts w:ascii="Times New Roman" w:eastAsia="Times New Roman" w:hAnsi="Times New Roman" w:cs="Times New Roman"/>
          <w:kern w:val="2"/>
          <w:lang w:val="x-none" w:eastAsia="x-none"/>
        </w:rPr>
      </w:pPr>
      <w:r w:rsidRPr="00326E64">
        <w:rPr>
          <w:rFonts w:ascii="Times New Roman" w:eastAsia="Times New Roman" w:hAnsi="Times New Roman" w:cs="Times New Roman"/>
          <w:kern w:val="2"/>
          <w:lang w:val="x-none" w:eastAsia="x-none"/>
        </w:rPr>
        <w:lastRenderedPageBreak/>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u w:val="single"/>
          <w:lang w:val="x-none" w:eastAsia="x-none"/>
        </w:rPr>
        <w:t>ii.</w:t>
      </w:r>
      <w:r w:rsidRPr="00326E64">
        <w:rPr>
          <w:rFonts w:ascii="Times New Roman" w:eastAsia="Times New Roman" w:hAnsi="Times New Roman" w:cs="Times New Roman"/>
          <w:kern w:val="2"/>
          <w:u w:val="single"/>
          <w:lang w:val="x-none" w:eastAsia="x-none"/>
        </w:rPr>
        <w:tab/>
        <w:t xml:space="preserve">When the </w:t>
      </w:r>
      <w:r w:rsidRPr="00326E64">
        <w:rPr>
          <w:rFonts w:ascii="Times New Roman" w:eastAsia="Times New Roman" w:hAnsi="Times New Roman" w:cs="Times New Roman"/>
          <w:kern w:val="2"/>
          <w:u w:val="single"/>
          <w:lang w:eastAsia="x-none"/>
        </w:rPr>
        <w:t>administrative authority</w:t>
      </w:r>
      <w:r w:rsidRPr="00326E64">
        <w:rPr>
          <w:rFonts w:ascii="Times New Roman" w:eastAsia="Times New Roman" w:hAnsi="Times New Roman" w:cs="Times New Roman"/>
          <w:kern w:val="2"/>
          <w:u w:val="single"/>
          <w:lang w:val="x-none" w:eastAsia="x-none"/>
        </w:rPr>
        <w:t xml:space="preserve"> receives any new information or receives a request for modification or revocation, such permit may, after an opportunity for hearing, be modified, or alternatively revoked and reissued, in whole or in part, for cause, including but not limited to</w:t>
      </w:r>
      <w:r w:rsidRPr="00326E64">
        <w:rPr>
          <w:rFonts w:ascii="Times New Roman" w:eastAsia="Times New Roman" w:hAnsi="Times New Roman" w:cs="Times New Roman"/>
          <w:kern w:val="2"/>
          <w:u w:val="single"/>
          <w:lang w:eastAsia="x-none"/>
        </w:rPr>
        <w:t xml:space="preserve"> the conditions in LAC 33:IX.2903, 2905, 3105, and 7313</w:t>
      </w:r>
      <w:r w:rsidRPr="00326E64">
        <w:rPr>
          <w:rFonts w:ascii="Times New Roman" w:eastAsia="Times New Roman" w:hAnsi="Times New Roman" w:cs="Times New Roman"/>
          <w:kern w:val="2"/>
          <w:lang w:eastAsia="x-none"/>
        </w:rPr>
        <w:t>.</w:t>
      </w:r>
    </w:p>
    <w:p w14:paraId="146BAC5F" w14:textId="77777777" w:rsidR="00326E64" w:rsidRPr="00326E64" w:rsidRDefault="00326E64" w:rsidP="00326E64">
      <w:pPr>
        <w:spacing w:line="480" w:lineRule="auto"/>
        <w:ind w:firstLine="187"/>
        <w:outlineLvl w:val="3"/>
        <w:rPr>
          <w:rFonts w:ascii="Times New Roman" w:eastAsia="Times New Roman" w:hAnsi="Times New Roman" w:cs="Times New Roman"/>
          <w:kern w:val="2"/>
          <w:lang w:val="x-none" w:eastAsia="x-none"/>
        </w:rPr>
      </w:pP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u w:val="single"/>
          <w:lang w:eastAsia="x-none"/>
        </w:rPr>
        <w:t>iii</w:t>
      </w:r>
      <w:r w:rsidRPr="00326E64">
        <w:rPr>
          <w:rFonts w:ascii="Times New Roman" w:eastAsia="Times New Roman" w:hAnsi="Times New Roman" w:cs="Times New Roman"/>
          <w:kern w:val="2"/>
          <w:u w:val="single"/>
          <w:lang w:val="x-none" w:eastAsia="x-none"/>
        </w:rPr>
        <w:t>.</w:t>
      </w:r>
      <w:r w:rsidRPr="00326E64">
        <w:rPr>
          <w:rFonts w:ascii="Times New Roman" w:eastAsia="Times New Roman" w:hAnsi="Times New Roman" w:cs="Times New Roman"/>
          <w:kern w:val="2"/>
          <w:u w:val="single"/>
          <w:lang w:val="x-none" w:eastAsia="x-none"/>
        </w:rPr>
        <w:tab/>
        <w:t>Only those permit conditions that are subject to modification are reopened for comment in a public hearing. When a permit is revoked and reissued, the administrative authority may either allow only those portions modified to be reopened, or may decide that the entire permit is reopened just as if the permit has expired and is being reissued.</w:t>
      </w:r>
    </w:p>
    <w:p w14:paraId="01C082C5" w14:textId="77777777" w:rsidR="00326E64" w:rsidRPr="00326E64" w:rsidRDefault="00326E64" w:rsidP="00326E64">
      <w:pPr>
        <w:spacing w:line="480" w:lineRule="auto"/>
        <w:ind w:firstLine="187"/>
        <w:outlineLvl w:val="3"/>
        <w:rPr>
          <w:rFonts w:ascii="Times New Roman" w:eastAsia="Times New Roman" w:hAnsi="Times New Roman" w:cs="Times New Roman"/>
          <w:kern w:val="2"/>
          <w:u w:val="single"/>
          <w:lang w:eastAsia="x-none"/>
        </w:rPr>
      </w:pP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u w:val="single"/>
          <w:lang w:eastAsia="x-none"/>
        </w:rPr>
        <w:t>iv</w:t>
      </w:r>
      <w:r w:rsidRPr="00326E64">
        <w:rPr>
          <w:rFonts w:ascii="Times New Roman" w:eastAsia="Times New Roman" w:hAnsi="Times New Roman" w:cs="Times New Roman"/>
          <w:kern w:val="2"/>
          <w:u w:val="single"/>
          <w:lang w:val="x-none" w:eastAsia="x-none"/>
        </w:rPr>
        <w:t>.</w:t>
      </w:r>
      <w:r w:rsidRPr="00326E64">
        <w:rPr>
          <w:rFonts w:ascii="Times New Roman" w:eastAsia="Times New Roman" w:hAnsi="Times New Roman" w:cs="Times New Roman"/>
          <w:kern w:val="2"/>
          <w:u w:val="single"/>
          <w:lang w:val="x-none" w:eastAsia="x-none"/>
        </w:rPr>
        <w:tab/>
      </w:r>
      <w:r w:rsidRPr="00326E64">
        <w:rPr>
          <w:rFonts w:ascii="Times New Roman" w:eastAsia="Times New Roman" w:hAnsi="Times New Roman" w:cs="Times New Roman"/>
          <w:kern w:val="2"/>
          <w:u w:val="single"/>
          <w:lang w:eastAsia="x-none"/>
        </w:rPr>
        <w:t xml:space="preserve">If a permit modification satisfies the following minor  modification requirements, the permit may be modified </w:t>
      </w:r>
      <w:r w:rsidRPr="00326E64">
        <w:rPr>
          <w:rFonts w:ascii="Times New Roman" w:eastAsia="Times New Roman" w:hAnsi="Times New Roman" w:cs="Times New Roman"/>
          <w:kern w:val="2"/>
          <w:u w:val="single"/>
          <w:lang w:val="x-none" w:eastAsia="x-none"/>
        </w:rPr>
        <w:t xml:space="preserve">without issuance of a draft permit or public review. Any permit </w:t>
      </w:r>
      <w:r w:rsidRPr="00326E64">
        <w:rPr>
          <w:rFonts w:ascii="Times New Roman" w:eastAsia="Times New Roman" w:hAnsi="Times New Roman" w:cs="Times New Roman"/>
          <w:kern w:val="2"/>
          <w:u w:val="single"/>
          <w:lang w:eastAsia="x-none"/>
        </w:rPr>
        <w:t xml:space="preserve"> </w:t>
      </w:r>
      <w:r w:rsidRPr="00326E64">
        <w:rPr>
          <w:rFonts w:ascii="Times New Roman" w:eastAsia="Times New Roman" w:hAnsi="Times New Roman" w:cs="Times New Roman"/>
          <w:kern w:val="2"/>
          <w:u w:val="single"/>
          <w:lang w:val="x-none" w:eastAsia="x-none"/>
        </w:rPr>
        <w:t>modification not processed as a minor modification shall be made in accordance with a fact sheet and public notice requirements as described in LAC 33:IX.</w:t>
      </w:r>
      <w:r w:rsidRPr="00326E64">
        <w:rPr>
          <w:rFonts w:ascii="Times New Roman" w:eastAsia="Times New Roman" w:hAnsi="Times New Roman" w:cs="Times New Roman"/>
          <w:kern w:val="2"/>
          <w:u w:val="single"/>
          <w:lang w:eastAsia="x-none"/>
        </w:rPr>
        <w:t>7313. Minor modifications may only:</w:t>
      </w:r>
    </w:p>
    <w:p w14:paraId="51657344" w14:textId="77777777" w:rsidR="00326E64" w:rsidRPr="00326E64" w:rsidRDefault="00326E64" w:rsidP="00326E64">
      <w:pPr>
        <w:spacing w:line="480" w:lineRule="auto"/>
        <w:outlineLvl w:val="3"/>
        <w:rPr>
          <w:rFonts w:ascii="Times New Roman" w:eastAsia="Times New Roman" w:hAnsi="Times New Roman" w:cs="Times New Roman"/>
          <w:kern w:val="2"/>
          <w:u w:val="single"/>
          <w:lang w:eastAsia="x-none"/>
        </w:rPr>
      </w:pP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u w:val="single"/>
          <w:lang w:eastAsia="x-none"/>
        </w:rPr>
        <w:t>(a).</w:t>
      </w:r>
      <w:r w:rsidRPr="00326E64">
        <w:rPr>
          <w:rFonts w:ascii="Times New Roman" w:eastAsia="Times New Roman" w:hAnsi="Times New Roman" w:cs="Times New Roman"/>
          <w:kern w:val="2"/>
          <w:u w:val="single"/>
          <w:lang w:eastAsia="x-none"/>
        </w:rPr>
        <w:tab/>
        <w:t>correct typographical errors;</w:t>
      </w:r>
    </w:p>
    <w:p w14:paraId="3C03DE48" w14:textId="77777777" w:rsidR="00326E64" w:rsidRPr="00326E64" w:rsidRDefault="00326E64" w:rsidP="00326E64">
      <w:pPr>
        <w:spacing w:line="480" w:lineRule="auto"/>
        <w:outlineLvl w:val="3"/>
        <w:rPr>
          <w:rFonts w:ascii="Times New Roman" w:eastAsia="Times New Roman" w:hAnsi="Times New Roman" w:cs="Times New Roman"/>
          <w:kern w:val="2"/>
          <w:u w:val="single"/>
          <w:lang w:eastAsia="x-none"/>
        </w:rPr>
      </w:pP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u w:val="single"/>
          <w:lang w:eastAsia="x-none"/>
        </w:rPr>
        <w:t>(b).</w:t>
      </w:r>
      <w:r w:rsidRPr="00326E64">
        <w:rPr>
          <w:rFonts w:ascii="Times New Roman" w:eastAsia="Times New Roman" w:hAnsi="Times New Roman" w:cs="Times New Roman"/>
          <w:kern w:val="2"/>
          <w:u w:val="single"/>
          <w:lang w:eastAsia="x-none"/>
        </w:rPr>
        <w:tab/>
        <w:t>require a change in the frequency of monitoring or reporting by the permittee;</w:t>
      </w:r>
    </w:p>
    <w:p w14:paraId="7B73542F" w14:textId="77777777" w:rsidR="00326E64" w:rsidRPr="00326E64" w:rsidRDefault="00326E64" w:rsidP="00326E64">
      <w:pPr>
        <w:spacing w:line="480" w:lineRule="auto"/>
        <w:outlineLvl w:val="3"/>
        <w:rPr>
          <w:rFonts w:ascii="Times New Roman" w:eastAsia="Times New Roman" w:hAnsi="Times New Roman" w:cs="Times New Roman"/>
          <w:kern w:val="2"/>
          <w:u w:val="single"/>
          <w:lang w:eastAsia="x-none"/>
        </w:rPr>
      </w:pP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u w:val="single"/>
          <w:lang w:eastAsia="x-none"/>
        </w:rPr>
        <w:t>(c).</w:t>
      </w:r>
      <w:r w:rsidRPr="00326E64">
        <w:rPr>
          <w:rFonts w:ascii="Times New Roman" w:eastAsia="Times New Roman" w:hAnsi="Times New Roman" w:cs="Times New Roman"/>
          <w:kern w:val="2"/>
          <w:u w:val="single"/>
          <w:lang w:eastAsia="x-none"/>
        </w:rPr>
        <w:tab/>
        <w:t>allow for a change in ownership or operational control of a facility where the administrative authority determines that no other change in the permit is necessary, provided that a written agreement containing a specific date for transfer of permit responsibility, coverage, and liability between new permittees has been submitted to the department;</w:t>
      </w:r>
    </w:p>
    <w:p w14:paraId="12717BB9" w14:textId="77777777" w:rsidR="00326E64" w:rsidRPr="00326E64" w:rsidRDefault="00326E64" w:rsidP="00326E64">
      <w:pPr>
        <w:spacing w:line="480" w:lineRule="auto"/>
        <w:outlineLvl w:val="3"/>
        <w:rPr>
          <w:rFonts w:ascii="Times New Roman" w:eastAsia="Times New Roman" w:hAnsi="Times New Roman" w:cs="Times New Roman"/>
          <w:kern w:val="2"/>
          <w:lang w:val="x-none" w:eastAsia="x-none"/>
        </w:rPr>
      </w:pPr>
      <w:r w:rsidRPr="00326E64">
        <w:rPr>
          <w:rFonts w:ascii="Times New Roman" w:eastAsia="Times New Roman" w:hAnsi="Times New Roman" w:cs="Times New Roman"/>
          <w:kern w:val="2"/>
          <w:lang w:eastAsia="x-none"/>
        </w:rPr>
        <w:lastRenderedPageBreak/>
        <w:tab/>
      </w: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lang w:eastAsia="x-none"/>
        </w:rPr>
        <w:tab/>
      </w:r>
      <w:r w:rsidRPr="00326E64">
        <w:rPr>
          <w:rFonts w:ascii="Times New Roman" w:eastAsia="Times New Roman" w:hAnsi="Times New Roman" w:cs="Times New Roman"/>
          <w:kern w:val="2"/>
          <w:u w:val="single"/>
          <w:lang w:eastAsia="x-none"/>
        </w:rPr>
        <w:t>(d).</w:t>
      </w:r>
      <w:r w:rsidRPr="00326E64">
        <w:rPr>
          <w:rFonts w:ascii="Times New Roman" w:eastAsia="Times New Roman" w:hAnsi="Times New Roman" w:cs="Times New Roman"/>
          <w:kern w:val="2"/>
          <w:u w:val="single"/>
          <w:lang w:eastAsia="x-none"/>
        </w:rPr>
        <w:tab/>
        <w:t>make changes in other minor provisions within the permit on a case-by-case basis.</w:t>
      </w:r>
    </w:p>
    <w:p w14:paraId="26A42A5F" w14:textId="77777777" w:rsidR="00326E64" w:rsidRPr="00326E64" w:rsidRDefault="00326E64" w:rsidP="00326E64">
      <w:pPr>
        <w:spacing w:line="480" w:lineRule="auto"/>
        <w:ind w:firstLine="187"/>
        <w:outlineLvl w:val="3"/>
        <w:rPr>
          <w:rFonts w:ascii="Times New Roman" w:eastAsia="Times New Roman" w:hAnsi="Times New Roman" w:cs="Times New Roman"/>
          <w:kern w:val="2"/>
          <w:u w:val="single"/>
          <w:lang w:val="x-none" w:eastAsia="x-none"/>
        </w:rPr>
      </w:pP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u w:val="single"/>
          <w:lang w:eastAsia="x-none"/>
        </w:rPr>
        <w:t>v.</w:t>
      </w:r>
      <w:r w:rsidRPr="00326E64">
        <w:rPr>
          <w:rFonts w:ascii="Times New Roman" w:eastAsia="Times New Roman" w:hAnsi="Times New Roman" w:cs="Times New Roman"/>
          <w:kern w:val="2"/>
          <w:u w:val="single"/>
          <w:lang w:val="x-none" w:eastAsia="x-none"/>
        </w:rPr>
        <w:tab/>
        <w:t>Modification cannot extend a permit beyond its original five-year duration.</w:t>
      </w:r>
    </w:p>
    <w:p w14:paraId="02FA40E7" w14:textId="77777777" w:rsidR="00326E64" w:rsidRPr="00326E64" w:rsidRDefault="00326E64" w:rsidP="00326E64">
      <w:pPr>
        <w:spacing w:line="480" w:lineRule="auto"/>
        <w:ind w:firstLine="187"/>
        <w:outlineLvl w:val="3"/>
        <w:rPr>
          <w:rFonts w:ascii="Times New Roman" w:eastAsia="Times New Roman" w:hAnsi="Times New Roman" w:cs="Times New Roman"/>
          <w:kern w:val="2"/>
          <w:lang w:val="x-none" w:eastAsia="x-none"/>
        </w:rPr>
      </w:pP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lang w:val="x-none" w:eastAsia="x-none"/>
        </w:rPr>
        <w:tab/>
      </w:r>
      <w:r w:rsidRPr="00326E64">
        <w:rPr>
          <w:rFonts w:ascii="Times New Roman" w:eastAsia="Times New Roman" w:hAnsi="Times New Roman" w:cs="Times New Roman"/>
          <w:kern w:val="2"/>
          <w:u w:val="single"/>
          <w:lang w:eastAsia="x-none"/>
        </w:rPr>
        <w:t>vi.</w:t>
      </w:r>
      <w:r w:rsidRPr="00326E64">
        <w:rPr>
          <w:rFonts w:ascii="Times New Roman" w:eastAsia="Times New Roman" w:hAnsi="Times New Roman" w:cs="Times New Roman"/>
          <w:kern w:val="2"/>
          <w:u w:val="single"/>
          <w:lang w:val="x-none" w:eastAsia="x-none"/>
        </w:rPr>
        <w:tab/>
        <w:t>Requests for modification or revocation, and reissuance do not suspend any permit condition during the processing of the request.</w:t>
      </w:r>
    </w:p>
    <w:p w14:paraId="55988ED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7. — 12.i.</w:t>
      </w:r>
      <w:r w:rsidRPr="00326E64">
        <w:rPr>
          <w:rFonts w:ascii="Times New Roman" w:eastAsia="Calibri" w:hAnsi="Times New Roman" w:cs="Times New Roman"/>
        </w:rPr>
        <w:tab/>
        <w:t>…</w:t>
      </w:r>
    </w:p>
    <w:p w14:paraId="58ACE5C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t>13.</w:t>
      </w:r>
      <w:r w:rsidRPr="00326E64">
        <w:rPr>
          <w:rFonts w:ascii="Times New Roman" w:eastAsia="Calibri" w:hAnsi="Times New Roman" w:cs="Times New Roman"/>
        </w:rPr>
        <w:tab/>
        <w:t>Public Notice of Permit Actions and Public Comment Period</w:t>
      </w:r>
      <w:r w:rsidRPr="00326E64">
        <w:rPr>
          <w:rFonts w:ascii="Times New Roman" w:eastAsia="Calibri" w:hAnsi="Times New Roman" w:cs="Times New Roman"/>
          <w:strike/>
        </w:rPr>
        <w:t>.</w:t>
      </w:r>
    </w:p>
    <w:p w14:paraId="7BF74CE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r>
      <w:r w:rsidRPr="00326E64">
        <w:rPr>
          <w:rFonts w:ascii="Times New Roman" w:eastAsia="Calibri" w:hAnsi="Times New Roman" w:cs="Times New Roman"/>
        </w:rPr>
        <w:t>The conditions set forth in LAC 33:IX.3113 and 6521 for public notices and the public comment period shall apply to all permits issued in accordance with these regulations.</w:t>
      </w:r>
    </w:p>
    <w:p w14:paraId="594DCBF9" w14:textId="77777777" w:rsidR="00326E64" w:rsidRPr="00326E64" w:rsidRDefault="00326E64" w:rsidP="00326E64">
      <w:pPr>
        <w:tabs>
          <w:tab w:val="left" w:pos="2160"/>
        </w:tabs>
        <w:spacing w:line="480" w:lineRule="auto"/>
        <w:rPr>
          <w:rFonts w:ascii="Times New Roman" w:eastAsia="Calibri" w:hAnsi="Times New Roman" w:cs="Times New Roman"/>
        </w:rPr>
      </w:pPr>
      <w:r w:rsidRPr="00326E64">
        <w:rPr>
          <w:rFonts w:ascii="Calibri" w:eastAsia="Calibri" w:hAnsi="Calibri"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 xml:space="preserve">For sewage sludge/biosolids individual permits and master general permits, in lieu of the requirement for publication of a notice in a daily or weekly newspaper, as described in LAC 33:IX.3113.2, the administrative authority may publish all notices of activities as described in LAC 33:IX.3113.A.1 to the department’s website. If the administrative authority selects this option for the </w:t>
      </w:r>
      <w:r w:rsidRPr="00326E64">
        <w:rPr>
          <w:rFonts w:ascii="Times New Roman" w:eastAsia="Calibri" w:hAnsi="Times New Roman" w:cs="Times New Roman"/>
          <w:i/>
          <w:u w:val="single"/>
        </w:rPr>
        <w:t>draft permit</w:t>
      </w:r>
      <w:r w:rsidRPr="00326E64">
        <w:rPr>
          <w:rFonts w:ascii="Times New Roman" w:eastAsia="Calibri" w:hAnsi="Times New Roman" w:cs="Times New Roman"/>
          <w:u w:val="single"/>
        </w:rPr>
        <w:t>, as defined in LAC 33:IX.3101, the administrative authority shall post the draft permit and the fact sheet on the website for the duration of the public comment period.</w:t>
      </w:r>
    </w:p>
    <w:p w14:paraId="1897071F"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u w:val="single"/>
        </w:rPr>
        <w:t>NOTE:</w:t>
      </w:r>
      <w:r w:rsidRPr="00326E64">
        <w:rPr>
          <w:rFonts w:ascii="Times New Roman" w:eastAsia="Calibri" w:hAnsi="Times New Roman" w:cs="Times New Roman"/>
          <w:u w:val="single"/>
        </w:rPr>
        <w:tab/>
        <w:t xml:space="preserve"> The administrative authority is encouraged to ensure that all method(s) of public notice effectively informs all interested communities and allows access to the permitting process for those seeking to participate.</w:t>
      </w:r>
    </w:p>
    <w:p w14:paraId="74F8E6C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14.</w:t>
      </w:r>
      <w:r w:rsidRPr="00326E64">
        <w:rPr>
          <w:rFonts w:ascii="Times New Roman" w:eastAsia="Calibri" w:hAnsi="Times New Roman" w:cs="Times New Roman"/>
        </w:rPr>
        <w:tab/>
        <w:t>Public Comments and Requests for Public Hearings</w:t>
      </w:r>
      <w:r w:rsidRPr="00326E64">
        <w:rPr>
          <w:rFonts w:ascii="Times New Roman" w:eastAsia="Calibri" w:hAnsi="Times New Roman" w:cs="Times New Roman"/>
          <w:strike/>
        </w:rPr>
        <w:t>.</w:t>
      </w:r>
    </w:p>
    <w:p w14:paraId="0BBB760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rPr>
        <w:tab/>
        <w:t>The conditions set forth in LAC 33:I.1505 and IX.3115 for public comments and requests for public hearings shall apply to all permits issued in accordance with these regulations.</w:t>
      </w:r>
    </w:p>
    <w:p w14:paraId="31ABDADD"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The conditions set forth in LAC 33:IX.7313.A.13.b shall apply to all permits issued in accordance with these regulations.</w:t>
      </w:r>
    </w:p>
    <w:p w14:paraId="28F80E7A" w14:textId="77777777" w:rsidR="00326E64" w:rsidRPr="00326E64" w:rsidRDefault="00326E64" w:rsidP="00326E64">
      <w:pPr>
        <w:spacing w:line="480" w:lineRule="auto"/>
        <w:ind w:firstLine="720"/>
        <w:rPr>
          <w:rFonts w:ascii="Times New Roman" w:eastAsia="Calibri" w:hAnsi="Times New Roman" w:cs="Times New Roman"/>
        </w:rPr>
      </w:pPr>
      <w:r w:rsidRPr="00326E64">
        <w:rPr>
          <w:rFonts w:ascii="Times New Roman" w:eastAsia="Calibri" w:hAnsi="Times New Roman" w:cs="Times New Roman"/>
        </w:rPr>
        <w:t>A.15. — D.</w:t>
      </w:r>
      <w:r w:rsidRPr="00326E64">
        <w:rPr>
          <w:rFonts w:ascii="Times New Roman" w:eastAsia="Calibri" w:hAnsi="Times New Roman" w:cs="Times New Roman"/>
        </w:rPr>
        <w:tab/>
        <w:t>…</w:t>
      </w:r>
    </w:p>
    <w:p w14:paraId="4F502F0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1.</w:t>
      </w:r>
      <w:r w:rsidRPr="00326E64">
        <w:rPr>
          <w:rFonts w:ascii="Times New Roman" w:eastAsia="Calibri" w:hAnsi="Times New Roman" w:cs="Times New Roman"/>
        </w:rPr>
        <w:tab/>
        <w:t xml:space="preserve">Facility Changes. The permittee shall give notice to the </w:t>
      </w:r>
      <w:r w:rsidRPr="00326E64">
        <w:rPr>
          <w:rFonts w:ascii="Times New Roman" w:eastAsia="Calibri" w:hAnsi="Times New Roman" w:cs="Times New Roman"/>
          <w:u w:val="single"/>
        </w:rPr>
        <w:t>administrative authority</w:t>
      </w:r>
      <w:r w:rsidRPr="00326E64">
        <w:rPr>
          <w:rFonts w:ascii="Times New Roman" w:eastAsia="Calibri" w:hAnsi="Times New Roman" w:cs="Times New Roman"/>
          <w:strike/>
        </w:rPr>
        <w:t>Office of Environmental Services</w:t>
      </w:r>
      <w:r w:rsidRPr="00326E64">
        <w:rPr>
          <w:rFonts w:ascii="Times New Roman" w:eastAsia="Calibri" w:hAnsi="Times New Roman" w:cs="Times New Roman"/>
        </w:rPr>
        <w:t xml:space="preserve"> as soon as possible of any planned physical alterations or additions to the permitted facility.</w:t>
      </w:r>
    </w:p>
    <w:p w14:paraId="52289E5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2.</w:t>
      </w:r>
      <w:r w:rsidRPr="00326E64">
        <w:rPr>
          <w:rFonts w:ascii="Times New Roman" w:eastAsia="Calibri" w:hAnsi="Times New Roman" w:cs="Times New Roman"/>
        </w:rPr>
        <w:tab/>
        <w:t xml:space="preserve">Anticipated Noncompliance. The permittee shall give advance notice to the </w:t>
      </w:r>
      <w:r w:rsidRPr="00326E64">
        <w:rPr>
          <w:rFonts w:ascii="Times New Roman" w:eastAsia="Calibri" w:hAnsi="Times New Roman" w:cs="Times New Roman"/>
          <w:u w:val="single"/>
        </w:rPr>
        <w:t>administrative authority</w:t>
      </w:r>
      <w:r w:rsidRPr="00326E64">
        <w:rPr>
          <w:rFonts w:ascii="Times New Roman" w:eastAsia="Calibri" w:hAnsi="Times New Roman" w:cs="Times New Roman"/>
          <w:strike/>
        </w:rPr>
        <w:t xml:space="preserve">Office of Environmental Services </w:t>
      </w:r>
      <w:r w:rsidRPr="00326E64">
        <w:rPr>
          <w:rFonts w:ascii="Times New Roman" w:eastAsia="Calibri" w:hAnsi="Times New Roman" w:cs="Times New Roman"/>
        </w:rPr>
        <w:t>of any planned changes in the permitted facility or activity that may result in noncompliance with permit requirements.</w:t>
      </w:r>
    </w:p>
    <w:p w14:paraId="7B4F736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3.</w:t>
      </w:r>
      <w:r w:rsidRPr="00326E64">
        <w:rPr>
          <w:rFonts w:ascii="Times New Roman" w:eastAsia="Calibri" w:hAnsi="Times New Roman" w:cs="Times New Roman"/>
        </w:rPr>
        <w:tab/>
        <w:t xml:space="preserve">Transfers. A permit is not transferable to any person except after notice to the </w:t>
      </w:r>
      <w:r w:rsidRPr="00326E64">
        <w:rPr>
          <w:rFonts w:ascii="Times New Roman" w:eastAsia="Calibri" w:hAnsi="Times New Roman" w:cs="Times New Roman"/>
          <w:u w:val="single"/>
        </w:rPr>
        <w:t>administrative authority</w:t>
      </w:r>
      <w:r w:rsidRPr="00326E64">
        <w:rPr>
          <w:rFonts w:ascii="Times New Roman" w:eastAsia="Calibri" w:hAnsi="Times New Roman" w:cs="Times New Roman"/>
          <w:strike/>
        </w:rPr>
        <w:t>Office of Environmental Services</w:t>
      </w:r>
      <w:r w:rsidRPr="00326E64">
        <w:rPr>
          <w:rFonts w:ascii="Times New Roman" w:eastAsia="Calibri" w:hAnsi="Times New Roman" w:cs="Times New Roman"/>
        </w:rPr>
        <w:t>. The administrative authority may require modification or revocation and reissuance of the permit to change the name of the permittee and incorporate such other requirements as may be necessary under the Louisiana Environmental Quality Act. Except as provided in LAC 33:IX.2901.A, a permit may be transferred by the permittee to a new owner or operator only if the permit has been modified or revoked and reissued, or a minor modification made to identify the new permittee and incorporate such other requirements as may be necessary under the Louisiana Environmental Quality Act.</w:t>
      </w:r>
    </w:p>
    <w:p w14:paraId="320B23AA"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4. — 6.</w:t>
      </w:r>
      <w:r w:rsidRPr="00326E64">
        <w:rPr>
          <w:rFonts w:ascii="Times New Roman" w:eastAsia="Calibri" w:hAnsi="Times New Roman" w:cs="Times New Roman"/>
        </w:rPr>
        <w:tab/>
        <w:t>…</w:t>
      </w:r>
    </w:p>
    <w:p w14:paraId="7064044D"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strike/>
        </w:rPr>
        <w:t>7.</w:t>
      </w:r>
      <w:r w:rsidRPr="00326E64">
        <w:rPr>
          <w:rFonts w:ascii="Times New Roman" w:eastAsia="Calibri" w:hAnsi="Times New Roman" w:cs="Times New Roman"/>
          <w:strike/>
        </w:rPr>
        <w:tab/>
        <w:t>Signatory Requirements. All applications, reports, or information submitted to the administrative authority shall be signed and certified.</w:t>
      </w:r>
    </w:p>
    <w:p w14:paraId="4805EC1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All permit applications shall be signed as follows:</w:t>
      </w:r>
    </w:p>
    <w:p w14:paraId="2640155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for a corporation—by a responsible corporate officer. For the purposes of this Section, a responsible corporate officer means:</w:t>
      </w:r>
    </w:p>
    <w:p w14:paraId="037F674D"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a president, secretary, treasurer, or vice-president of the corporation in charge of a principal business function, or any other person who performs similar policy or decision-making functions for the corporation. These responsible corporate officers are presumed to have the authority to sign permit applications unless the corporation has notified the administrative authority to the contrary; or</w:t>
      </w:r>
    </w:p>
    <w:p w14:paraId="49AAAD6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manager of one or more manufacturing, production, or operating facilities, provided that the manager is authorized to make management decisions that govern the operation of the regulated facility, including having the explicit or implicit duty of making major capital investment recommendations and initiating and directing other comprehensive measures to ensure long term compliance with environmental laws and regulations; the manager has the authority to ensure that the necessary systems are established or actions are taken to gather complete and accurate information for permit application requirements; and the authority to sign documents has been assigned or delegated to the manager in accordance with corporate procedures. Corporate procedures governing authority to sign permit applications may provide for assignment or delegation to applicable corporate positions rather than to specific individuals;</w:t>
      </w:r>
    </w:p>
    <w:p w14:paraId="33CACCE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for a partnership or sole proprietorship—by a general partner or the proprietor, respectively; or</w:t>
      </w:r>
    </w:p>
    <w:p w14:paraId="062402F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for a municipality or a state, federal, or other public agency—by either a principal executive officer or ranking elected official. For purposes of this Paragraph, a principal executive officer of a federal agency includes:</w:t>
      </w:r>
    </w:p>
    <w:p w14:paraId="2E920B3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chief executive officer of the agency; or</w:t>
      </w:r>
    </w:p>
    <w:p w14:paraId="33C59FF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a senior executive officer having responsibility for the overall operations of a principal geographic unit of the agency (e.g., a regional administrator of EPA).</w:t>
      </w:r>
    </w:p>
    <w:p w14:paraId="3F959B4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All reports required by permits, and submission of other information requested by the administrative authority, shall be signed by a person described in Subparagraph D.7.a</w:t>
      </w:r>
      <w:r w:rsidRPr="00326E64">
        <w:rPr>
          <w:rFonts w:ascii="Times New Roman" w:eastAsia="Calibri" w:hAnsi="Times New Roman" w:cs="Times New Roman"/>
          <w:strike/>
          <w:u w:val="single"/>
        </w:rPr>
        <w:t>.</w:t>
      </w:r>
      <w:r w:rsidRPr="00326E64">
        <w:rPr>
          <w:rFonts w:ascii="Times New Roman" w:eastAsia="Calibri" w:hAnsi="Times New Roman" w:cs="Times New Roman"/>
          <w:strike/>
        </w:rPr>
        <w:t xml:space="preserve"> of this Section, or by a duly authorized representative of that person. For the purposes of this Subparagraph, a person is a duly authorized representative only if:</w:t>
      </w:r>
    </w:p>
    <w:p w14:paraId="697375A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his or her authorization has been made in writing by a person described in Subparagraph D.7.a of this Section;</w:t>
      </w:r>
    </w:p>
    <w:p w14:paraId="0D7610C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the authorization specifies either an individual or a position now having responsibility for the overall operation of the regulated facility or activity, such as the position of plant manager, operator of a well or a well field, superintendent, or a position of equivalent responsibility, or an individual or position having overall responsibility for environmental matters for the company. A duly authorized representative may thus be either a named individual or an individual occupying a named position; and</w:t>
      </w:r>
    </w:p>
    <w:p w14:paraId="056DFB6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iii.</w:t>
      </w:r>
      <w:r w:rsidRPr="00326E64">
        <w:rPr>
          <w:rFonts w:ascii="Times New Roman" w:eastAsia="Calibri" w:hAnsi="Times New Roman" w:cs="Times New Roman"/>
          <w:strike/>
        </w:rPr>
        <w:tab/>
        <w:t>the written authorization is submitted to the administrative authority.</w:t>
      </w:r>
    </w:p>
    <w:p w14:paraId="6752943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 xml:space="preserve">Changes to Authorization. If an authorization under Subparagraph D.7.b of this Section is no longer accurate because a different individual or position now has </w:t>
      </w:r>
      <w:r w:rsidRPr="00326E64">
        <w:rPr>
          <w:rFonts w:ascii="Times New Roman" w:eastAsia="Calibri" w:hAnsi="Times New Roman" w:cs="Times New Roman"/>
          <w:strike/>
        </w:rPr>
        <w:lastRenderedPageBreak/>
        <w:t>responsibility for the overall operation of the facility, a new authorization satisfying the requirements of Subparagraph D.7.b of this Section must be submitted to the administrative authority prior to, or together with, any reports, information, or applications to be signed by an authorized representative.</w:t>
      </w:r>
    </w:p>
    <w:p w14:paraId="660C7D6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Certification.  Any person signing a document under the provisions of Subparagraph D.7.a or b of this Section shall make the following certification.</w:t>
      </w:r>
    </w:p>
    <w:p w14:paraId="0833FBEA" w14:textId="77777777" w:rsidR="00326E64" w:rsidRPr="00326E64" w:rsidRDefault="00326E64" w:rsidP="00326E64">
      <w:pPr>
        <w:spacing w:line="480" w:lineRule="auto"/>
        <w:ind w:left="720" w:right="720"/>
        <w:rPr>
          <w:rFonts w:ascii="Times New Roman" w:eastAsia="Calibri" w:hAnsi="Times New Roman" w:cs="Times New Roman"/>
        </w:rPr>
      </w:pPr>
      <w:r w:rsidRPr="00326E64">
        <w:rPr>
          <w:rFonts w:ascii="Times New Roman" w:eastAsia="Calibri" w:hAnsi="Times New Roman" w:cs="Times New Roman"/>
          <w:strike/>
        </w:rPr>
        <w:t xml:space="preserve">"I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is, to the best of my knowledge and belief, true, accurate, and complete. I am aware that there </w:t>
      </w:r>
    </w:p>
    <w:p w14:paraId="4D540085" w14:textId="77777777" w:rsidR="00326E64" w:rsidRPr="00326E64" w:rsidRDefault="00326E64" w:rsidP="00326E64">
      <w:pPr>
        <w:spacing w:line="480" w:lineRule="auto"/>
        <w:ind w:left="720" w:right="720"/>
        <w:rPr>
          <w:rFonts w:ascii="Times New Roman" w:eastAsia="Calibri" w:hAnsi="Times New Roman" w:cs="Times New Roman"/>
          <w:strike/>
        </w:rPr>
      </w:pPr>
      <w:r w:rsidRPr="00326E64">
        <w:rPr>
          <w:rFonts w:ascii="Times New Roman" w:eastAsia="Calibri" w:hAnsi="Times New Roman" w:cs="Times New Roman"/>
          <w:strike/>
        </w:rPr>
        <w:t>permits, or any public document) not classified as confidential information under R.S. are significant penalties for submitting false information, including the possibility of fine and imprisonment for knowing violations."</w:t>
      </w:r>
    </w:p>
    <w:p w14:paraId="2AA4D738"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7</w:t>
      </w:r>
      <w:r w:rsidRPr="00326E64">
        <w:rPr>
          <w:rFonts w:ascii="Times New Roman" w:eastAsia="Calibri" w:hAnsi="Times New Roman" w:cs="Times New Roman"/>
          <w:strike/>
        </w:rPr>
        <w:t>8</w:t>
      </w:r>
      <w:r w:rsidRPr="00326E64">
        <w:rPr>
          <w:rFonts w:ascii="Times New Roman" w:eastAsia="Calibri" w:hAnsi="Times New Roman" w:cs="Times New Roman"/>
        </w:rPr>
        <w:t>.</w:t>
      </w:r>
      <w:r w:rsidRPr="00326E64">
        <w:rPr>
          <w:rFonts w:ascii="Times New Roman" w:eastAsia="Calibri" w:hAnsi="Times New Roman" w:cs="Times New Roman"/>
        </w:rPr>
        <w:tab/>
        <w:t>Availability of Reports. All recorded information concerning permits and permit applications under this Chapter (completed permit application forms, fact sheets, draft permits or any public document) not classified as confidential information under R.S. 30:2030(A) and 2074(D) and designated as such in accordance with LAC 33:IX.2323.A and C and LAC 33:IX.6503 shall be made available to the public for inspection and copying during normal working hours in accordance with the Public Records Act, R.S. 44:1 et seq. Claims of confidentiality for the following will be denied:</w:t>
      </w:r>
    </w:p>
    <w:p w14:paraId="10E13E3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the name and address of any permit applicant or permittee;</w:t>
      </w:r>
    </w:p>
    <w:p w14:paraId="2C1C604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permit applications, permits, and effluent data; and</w:t>
      </w:r>
    </w:p>
    <w:p w14:paraId="57A75D23"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c.</w:t>
      </w:r>
      <w:r w:rsidRPr="00326E64">
        <w:rPr>
          <w:rFonts w:ascii="Times New Roman" w:eastAsia="Calibri" w:hAnsi="Times New Roman" w:cs="Times New Roman"/>
        </w:rPr>
        <w:tab/>
        <w:t>information required by the sewage sludge and biosolids use or disposal permit application forms provided by the administrative authority. This includes information submitted on the forms themselves and any attachments used to supply information required by the forms.</w:t>
      </w:r>
    </w:p>
    <w:p w14:paraId="4AACE886"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AUTHORITY NOTE:</w:t>
      </w:r>
      <w:r w:rsidRPr="00326E64">
        <w:rPr>
          <w:rFonts w:ascii="Times New Roman" w:eastAsia="Calibri" w:hAnsi="Times New Roman" w:cs="Times New Roman"/>
        </w:rPr>
        <w:tab/>
        <w:t>Promulgated in accordance with R.S. 30:2074(B)(1)(c) and (B)(3)(e).</w:t>
      </w:r>
    </w:p>
    <w:p w14:paraId="66612A3A"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HISTORICAL NOTE:</w:t>
      </w:r>
      <w:r w:rsidRPr="00326E64">
        <w:rPr>
          <w:rFonts w:ascii="Times New Roman" w:eastAsia="Calibri" w:hAnsi="Times New Roman" w:cs="Times New Roman"/>
        </w:rPr>
        <w:tab/>
        <w:t>Promulgated by the Department of Environmental Quality, Office of the Secretary, Legal Affairs Division, LR 33:2406 (November 2007), amended LR 35:941 (May 2009), amended by the Office of the Secretary, Legal Division, LR 38:2760 (November 2012), amended by the Office of the Secretary, Legal Affairs and Criminal Investigations Division, LR 43:2143 (November 2017)</w:t>
      </w:r>
      <w:r w:rsidRPr="00326E64">
        <w:rPr>
          <w:rFonts w:ascii="Times New Roman" w:eastAsia="Calibri" w:hAnsi="Times New Roman" w:cs="Times New Roman"/>
          <w:strike/>
        </w:rPr>
        <w:t>.</w:t>
      </w:r>
      <w:r w:rsidRPr="00326E64">
        <w:rPr>
          <w:rFonts w:ascii="Times New Roman" w:eastAsia="Calibri" w:hAnsi="Times New Roman" w:cs="Times New Roman"/>
        </w:rPr>
        <w:t>, amended by the Office of the Secretary, Legal Affairs Division, LR 51:</w:t>
      </w:r>
    </w:p>
    <w:p w14:paraId="389DF333" w14:textId="77777777" w:rsidR="00326E64" w:rsidRPr="00326E64" w:rsidRDefault="00326E64" w:rsidP="00326E64">
      <w:pPr>
        <w:tabs>
          <w:tab w:val="left" w:pos="288"/>
        </w:tabs>
        <w:rPr>
          <w:rFonts w:ascii="Times New Roman" w:eastAsia="Calibri" w:hAnsi="Times New Roman" w:cs="Times New Roman"/>
        </w:rPr>
      </w:pPr>
    </w:p>
    <w:p w14:paraId="1E87B63C" w14:textId="77777777" w:rsidR="00326E64" w:rsidRPr="00326E64" w:rsidRDefault="00326E64" w:rsidP="00326E64">
      <w:pPr>
        <w:spacing w:line="480" w:lineRule="auto"/>
        <w:rPr>
          <w:rFonts w:ascii="Times New Roman" w:eastAsia="Calibri" w:hAnsi="Times New Roman" w:cs="Times New Roman"/>
          <w:b/>
        </w:rPr>
      </w:pPr>
      <w:bookmarkStart w:id="19" w:name="_Toc483475163"/>
      <w:bookmarkStart w:id="20" w:name="TOC_SubC314"/>
      <w:r w:rsidRPr="00326E64">
        <w:rPr>
          <w:rFonts w:ascii="Times New Roman" w:eastAsia="Calibri" w:hAnsi="Times New Roman" w:cs="Times New Roman"/>
          <w:b/>
        </w:rPr>
        <w:t>§7315.</w:t>
      </w:r>
      <w:r w:rsidRPr="00326E64">
        <w:rPr>
          <w:rFonts w:ascii="Times New Roman" w:eastAsia="Calibri" w:hAnsi="Times New Roman" w:cs="Times New Roman"/>
          <w:b/>
        </w:rPr>
        <w:tab/>
        <w:t>Fee Schedule</w:t>
      </w:r>
      <w:bookmarkEnd w:id="19"/>
    </w:p>
    <w:p w14:paraId="5766D2F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t>A. — B.2.</w:t>
      </w:r>
      <w:r w:rsidRPr="00326E64">
        <w:rPr>
          <w:rFonts w:ascii="Times New Roman" w:eastAsia="Calibri" w:hAnsi="Times New Roman" w:cs="Times New Roman"/>
        </w:rPr>
        <w:tab/>
        <w:t>…</w:t>
      </w:r>
    </w:p>
    <w:p w14:paraId="1EB75BC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General Permit Fee. At the discretion of the administrative authority, an annual fee may be assessed for facilities regulated by a general permit. In deciding to establish an annual fee for facilities covered by a general permit, the administrative authority should consider the resources involved in administering the general permit, the economic impact on the regulated community, and the economic impact on the fee program. If the decision is made to assess an annual fee for an activity covered by a general permit, then each facility involved in that activity and covered by the general permit shall be assessed the fee.</w:t>
      </w:r>
    </w:p>
    <w:p w14:paraId="7B483D7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Other Fees</w:t>
      </w:r>
    </w:p>
    <w:tbl>
      <w:tblPr>
        <w:tblW w:w="4967" w:type="dxa"/>
        <w:tblInd w:w="1417" w:type="dxa"/>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3006"/>
        <w:gridCol w:w="1961"/>
      </w:tblGrid>
      <w:tr w:rsidR="00326E64" w:rsidRPr="00326E64" w14:paraId="4AEAEF18" w14:textId="77777777" w:rsidTr="00A54079">
        <w:trPr>
          <w:cantSplit/>
          <w:trHeight w:val="36"/>
          <w:tblHeader/>
        </w:trPr>
        <w:tc>
          <w:tcPr>
            <w:tcW w:w="3006" w:type="dxa"/>
            <w:shd w:val="clear" w:color="auto" w:fill="auto"/>
          </w:tcPr>
          <w:p w14:paraId="1D6B51E8"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lastRenderedPageBreak/>
              <w:t>Permit Type</w:t>
            </w:r>
          </w:p>
        </w:tc>
        <w:tc>
          <w:tcPr>
            <w:tcW w:w="1961" w:type="dxa"/>
            <w:shd w:val="clear" w:color="auto" w:fill="auto"/>
          </w:tcPr>
          <w:p w14:paraId="3931EA01"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Amount</w:t>
            </w:r>
          </w:p>
        </w:tc>
      </w:tr>
      <w:tr w:rsidR="00326E64" w:rsidRPr="00326E64" w14:paraId="5E5502E9" w14:textId="77777777" w:rsidTr="00A54079">
        <w:trPr>
          <w:cantSplit/>
        </w:trPr>
        <w:tc>
          <w:tcPr>
            <w:tcW w:w="3006" w:type="dxa"/>
            <w:shd w:val="clear" w:color="auto" w:fill="auto"/>
          </w:tcPr>
          <w:p w14:paraId="31E3578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Gen-LAJ65-Disposal in Landfill</w:t>
            </w:r>
          </w:p>
        </w:tc>
        <w:tc>
          <w:tcPr>
            <w:tcW w:w="1961" w:type="dxa"/>
            <w:shd w:val="clear" w:color="auto" w:fill="auto"/>
          </w:tcPr>
          <w:p w14:paraId="79A2319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$600</w:t>
            </w:r>
          </w:p>
        </w:tc>
      </w:tr>
    </w:tbl>
    <w:p w14:paraId="7E5D8021" w14:textId="77777777" w:rsidR="00326E64" w:rsidRPr="00326E64" w:rsidRDefault="00326E64" w:rsidP="00326E64">
      <w:pPr>
        <w:spacing w:line="480" w:lineRule="auto"/>
        <w:rPr>
          <w:rFonts w:ascii="Times New Roman" w:eastAsia="Calibri" w:hAnsi="Times New Roman" w:cs="Times New Roman"/>
        </w:rPr>
      </w:pPr>
    </w:p>
    <w:p w14:paraId="640969D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strike/>
        </w:rPr>
        <w:t>E</w:t>
      </w:r>
      <w:r w:rsidRPr="00326E64">
        <w:rPr>
          <w:rFonts w:ascii="Times New Roman" w:eastAsia="Calibri" w:hAnsi="Times New Roman" w:cs="Times New Roman"/>
        </w:rPr>
        <w:t>.</w:t>
      </w:r>
      <w:r w:rsidRPr="00326E64">
        <w:rPr>
          <w:rFonts w:ascii="Times New Roman" w:eastAsia="Calibri" w:hAnsi="Times New Roman" w:cs="Times New Roman"/>
        </w:rPr>
        <w:tab/>
        <w:t>Due Date. Fees shall be received by the department by the due date indicated on the invoice.</w:t>
      </w:r>
    </w:p>
    <w:p w14:paraId="582F81D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strike/>
        </w:rPr>
        <w:t>F</w:t>
      </w:r>
      <w:r w:rsidRPr="00326E64">
        <w:rPr>
          <w:rFonts w:ascii="Times New Roman" w:eastAsia="Calibri" w:hAnsi="Times New Roman" w:cs="Times New Roman"/>
        </w:rPr>
        <w:t>.</w:t>
      </w:r>
      <w:r w:rsidRPr="00326E64">
        <w:rPr>
          <w:rFonts w:ascii="Times New Roman" w:eastAsia="Calibri" w:hAnsi="Times New Roman" w:cs="Times New Roman"/>
        </w:rPr>
        <w:tab/>
        <w:t>Late Payment Fee</w:t>
      </w:r>
    </w:p>
    <w:p w14:paraId="3194787C"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1.</w:t>
      </w:r>
      <w:r w:rsidRPr="00326E64">
        <w:rPr>
          <w:rFonts w:ascii="Times New Roman" w:eastAsia="Calibri" w:hAnsi="Times New Roman" w:cs="Times New Roman"/>
        </w:rPr>
        <w:tab/>
        <w:t xml:space="preserve">Payments not received within 15 days of the due date will be charged a late payment fee. </w:t>
      </w:r>
    </w:p>
    <w:p w14:paraId="27DEF80D"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2.</w:t>
      </w:r>
      <w:r w:rsidRPr="00326E64">
        <w:rPr>
          <w:rFonts w:ascii="Times New Roman" w:eastAsia="Calibri" w:hAnsi="Times New Roman" w:cs="Times New Roman"/>
        </w:rPr>
        <w:tab/>
        <w:t>Any late payment fee shall be calculated from the due date indicated on the invoice.</w:t>
      </w:r>
    </w:p>
    <w:p w14:paraId="2FDEDDB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3.</w:t>
      </w:r>
      <w:r w:rsidRPr="00326E64">
        <w:rPr>
          <w:rFonts w:ascii="Times New Roman" w:eastAsia="Calibri" w:hAnsi="Times New Roman" w:cs="Times New Roman"/>
        </w:rPr>
        <w:tab/>
        <w:t>Payments not received by the department by the:</w:t>
      </w:r>
    </w:p>
    <w:p w14:paraId="13EDA5C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fifteenth day from the due date will be assessed a 5 percent late payment fee on the original assessed fee;</w:t>
      </w:r>
    </w:p>
    <w:p w14:paraId="1EFCADE3"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thirtieth day from the due date will be assessed an additional 5 percent late payment fee on the original assessed fee; and</w:t>
      </w:r>
    </w:p>
    <w:p w14:paraId="5EA7AFF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c.</w:t>
      </w:r>
      <w:r w:rsidRPr="00326E64">
        <w:rPr>
          <w:rFonts w:ascii="Times New Roman" w:eastAsia="Calibri" w:hAnsi="Times New Roman" w:cs="Times New Roman"/>
        </w:rPr>
        <w:tab/>
        <w:t>sixtieth day from the due date will be assessed an additional 5 percent late payment fee on the original assessed fee.</w:t>
      </w:r>
    </w:p>
    <w:p w14:paraId="621649AE"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u w:val="single"/>
        </w:rPr>
        <w:t>E</w:t>
      </w:r>
      <w:r w:rsidRPr="00326E64">
        <w:rPr>
          <w:rFonts w:ascii="Times New Roman" w:eastAsia="Calibri" w:hAnsi="Times New Roman" w:cs="Times New Roman"/>
          <w:strike/>
        </w:rPr>
        <w:t>G</w:t>
      </w:r>
      <w:r w:rsidRPr="00326E64">
        <w:rPr>
          <w:rFonts w:ascii="Times New Roman" w:eastAsia="Calibri" w:hAnsi="Times New Roman" w:cs="Times New Roman"/>
        </w:rPr>
        <w:t>.</w:t>
      </w:r>
      <w:r w:rsidRPr="00326E64">
        <w:rPr>
          <w:rFonts w:ascii="Times New Roman" w:eastAsia="Calibri" w:hAnsi="Times New Roman" w:cs="Times New Roman"/>
        </w:rPr>
        <w:tab/>
        <w:t>Failure to Pay. Failure to pay the prescribed application fee or annual fee as provided herein, within 90 days after the due date, will constitute a violation of these regulations and shall subject the person to applicable enforcement actions under the Louisiana Environmental Quality Act including, but not limited to, revocation or suspension of the applicable permit, license, registration, or variance.</w:t>
      </w:r>
    </w:p>
    <w:p w14:paraId="0C1585D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u w:val="single"/>
        </w:rPr>
        <w:t>F</w:t>
      </w:r>
      <w:r w:rsidRPr="00326E64">
        <w:rPr>
          <w:rFonts w:ascii="Times New Roman" w:eastAsia="Calibri" w:hAnsi="Times New Roman" w:cs="Times New Roman"/>
          <w:strike/>
        </w:rPr>
        <w:t>H</w:t>
      </w:r>
      <w:r w:rsidRPr="00326E64">
        <w:rPr>
          <w:rFonts w:ascii="Times New Roman" w:eastAsia="Calibri" w:hAnsi="Times New Roman" w:cs="Times New Roman"/>
        </w:rPr>
        <w:t>.</w:t>
      </w:r>
      <w:r w:rsidRPr="00326E64">
        <w:rPr>
          <w:rFonts w:ascii="Times New Roman" w:eastAsia="Calibri" w:hAnsi="Times New Roman" w:cs="Times New Roman"/>
        </w:rPr>
        <w:tab/>
        <w:t>Refunds. The fees in this Section are nontransferable and nonrefundable.</w:t>
      </w:r>
    </w:p>
    <w:p w14:paraId="30BC0C4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u w:val="single"/>
        </w:rPr>
        <w:t>G</w:t>
      </w:r>
      <w:r w:rsidRPr="00326E64">
        <w:rPr>
          <w:rFonts w:ascii="Times New Roman" w:eastAsia="Calibri" w:hAnsi="Times New Roman" w:cs="Times New Roman"/>
          <w:strike/>
        </w:rPr>
        <w:t>I</w:t>
      </w:r>
      <w:r w:rsidRPr="00326E64">
        <w:rPr>
          <w:rFonts w:ascii="Times New Roman" w:eastAsia="Calibri" w:hAnsi="Times New Roman" w:cs="Times New Roman"/>
        </w:rPr>
        <w:t>.</w:t>
      </w:r>
      <w:r w:rsidRPr="00326E64">
        <w:rPr>
          <w:rFonts w:ascii="Times New Roman" w:eastAsia="Calibri" w:hAnsi="Times New Roman" w:cs="Times New Roman"/>
        </w:rPr>
        <w:tab/>
        <w:t>Methods of Payment</w:t>
      </w:r>
    </w:p>
    <w:p w14:paraId="392EE53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1.</w:t>
      </w:r>
      <w:r w:rsidRPr="00326E64">
        <w:rPr>
          <w:rFonts w:ascii="Times New Roman" w:eastAsia="Calibri" w:hAnsi="Times New Roman" w:cs="Times New Roman"/>
        </w:rPr>
        <w:tab/>
        <w:t>All payments made by check, draft, or money order shall be made payable to the Louisiana Department of Environmental Quality, and mailed to the department at the address provided on the invoice.</w:t>
      </w:r>
    </w:p>
    <w:p w14:paraId="571C536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2.</w:t>
      </w:r>
      <w:r w:rsidRPr="00326E64">
        <w:rPr>
          <w:rFonts w:ascii="Times New Roman" w:eastAsia="Calibri" w:hAnsi="Times New Roman" w:cs="Times New Roman"/>
        </w:rPr>
        <w:tab/>
        <w:t>Electronic Methods of Payment</w:t>
      </w:r>
    </w:p>
    <w:p w14:paraId="74B7BFB9"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a.</w:t>
      </w:r>
      <w:r w:rsidRPr="00326E64">
        <w:rPr>
          <w:rFonts w:ascii="Times New Roman" w:eastAsia="Calibri" w:hAnsi="Times New Roman" w:cs="Times New Roman"/>
        </w:rPr>
        <w:tab/>
        <w:t>Persons wishing to make payments using the electronic pay method should access the department’s website and follow the instructions provided on the website.</w:t>
      </w:r>
    </w:p>
    <w:p w14:paraId="4843165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t>b.</w:t>
      </w:r>
      <w:r w:rsidRPr="00326E64">
        <w:rPr>
          <w:rFonts w:ascii="Times New Roman" w:eastAsia="Calibri" w:hAnsi="Times New Roman" w:cs="Times New Roman"/>
        </w:rPr>
        <w:tab/>
        <w:t>Persons wishing to make payments using the electronic funds transfer (EFT) method shall contact the Office of Management and Finance for further instructions.</w:t>
      </w:r>
    </w:p>
    <w:p w14:paraId="50BCE47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3.</w:t>
      </w:r>
      <w:r w:rsidRPr="00326E64">
        <w:rPr>
          <w:rFonts w:ascii="Times New Roman" w:eastAsia="Calibri" w:hAnsi="Times New Roman" w:cs="Times New Roman"/>
        </w:rPr>
        <w:tab/>
        <w:t>Cash is not an acceptable form of payment.</w:t>
      </w:r>
    </w:p>
    <w:p w14:paraId="79949EE9"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AUTHORITY NOTE:</w:t>
      </w:r>
      <w:r w:rsidRPr="00326E64">
        <w:rPr>
          <w:rFonts w:ascii="Times New Roman" w:eastAsia="Calibri" w:hAnsi="Times New Roman" w:cs="Times New Roman"/>
        </w:rPr>
        <w:tab/>
        <w:t>Promulgated in accordance with R.S. 30:2014.</w:t>
      </w:r>
    </w:p>
    <w:p w14:paraId="55A14502"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HISTORICAL NOTE:</w:t>
      </w:r>
      <w:r w:rsidRPr="00326E64">
        <w:rPr>
          <w:rFonts w:ascii="Times New Roman" w:eastAsia="Calibri" w:hAnsi="Times New Roman" w:cs="Times New Roman"/>
        </w:rPr>
        <w:tab/>
        <w:t>Promulgated by the Department of Environmental Quality, Office of the Secretary, Legal Division, LR 43:949 (May 2017)</w:t>
      </w:r>
      <w:r w:rsidRPr="00326E64">
        <w:rPr>
          <w:rFonts w:ascii="Times New Roman" w:eastAsia="Calibri" w:hAnsi="Times New Roman" w:cs="Times New Roman"/>
          <w:strike/>
        </w:rPr>
        <w:t>.</w:t>
      </w:r>
      <w:r w:rsidRPr="00326E64">
        <w:rPr>
          <w:rFonts w:ascii="Times New Roman" w:eastAsia="Calibri" w:hAnsi="Times New Roman" w:cs="Times New Roman"/>
        </w:rPr>
        <w:t>, amended by the Office of the Secretary, Legal Affairs Division, LR 51:</w:t>
      </w:r>
    </w:p>
    <w:p w14:paraId="26E13B04" w14:textId="77777777" w:rsidR="00326E64" w:rsidRPr="00326E64" w:rsidRDefault="00326E64" w:rsidP="00326E64">
      <w:pPr>
        <w:tabs>
          <w:tab w:val="left" w:pos="288"/>
        </w:tabs>
        <w:rPr>
          <w:rFonts w:ascii="Times New Roman" w:eastAsia="Calibri" w:hAnsi="Times New Roman" w:cs="Times New Roman"/>
        </w:rPr>
      </w:pPr>
    </w:p>
    <w:p w14:paraId="29A1C166" w14:textId="77777777" w:rsidR="00326E64" w:rsidRPr="00326E64" w:rsidRDefault="00326E64" w:rsidP="00326E64">
      <w:pPr>
        <w:spacing w:line="480" w:lineRule="auto"/>
        <w:rPr>
          <w:rFonts w:ascii="Times New Roman" w:eastAsia="Calibri" w:hAnsi="Times New Roman" w:cs="Times New Roman"/>
          <w:b/>
        </w:rPr>
      </w:pPr>
      <w:r w:rsidRPr="00326E64">
        <w:rPr>
          <w:rFonts w:ascii="Times New Roman" w:eastAsia="Calibri" w:hAnsi="Times New Roman" w:cs="Times New Roman"/>
          <w:b/>
          <w:u w:val="single"/>
        </w:rPr>
        <w:t>§7317.</w:t>
      </w:r>
      <w:r w:rsidRPr="00326E64">
        <w:rPr>
          <w:rFonts w:ascii="Times New Roman" w:eastAsia="Calibri" w:hAnsi="Times New Roman" w:cs="Times New Roman"/>
          <w:b/>
          <w:u w:val="single"/>
        </w:rPr>
        <w:tab/>
        <w:t>Signatory Requirements</w:t>
      </w:r>
    </w:p>
    <w:p w14:paraId="3D8541B1"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All applications, reports, or information prepared in accordance with this Chapter shall be signed and certified.</w:t>
      </w:r>
    </w:p>
    <w:p w14:paraId="3C3602C3"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1.</w:t>
      </w:r>
      <w:r w:rsidRPr="00326E64">
        <w:rPr>
          <w:rFonts w:ascii="Times New Roman" w:eastAsia="Calibri" w:hAnsi="Times New Roman" w:cs="Times New Roman"/>
          <w:u w:val="single"/>
        </w:rPr>
        <w:tab/>
        <w:t>All applications, reports, or information shall be signed as follows.</w:t>
      </w:r>
    </w:p>
    <w:p w14:paraId="7F14B60C"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For a Corporation—by a Responsible Corporate Officer</w:t>
      </w:r>
    </w:p>
    <w:p w14:paraId="5898E7F0" w14:textId="77777777" w:rsidR="00326E64" w:rsidRPr="00326E64" w:rsidRDefault="00326E64" w:rsidP="00326E64">
      <w:pPr>
        <w:spacing w:line="480" w:lineRule="auto"/>
        <w:ind w:firstLine="2880"/>
        <w:rPr>
          <w:rFonts w:ascii="Times New Roman" w:eastAsia="Calibri" w:hAnsi="Times New Roman" w:cs="Times New Roman"/>
        </w:rPr>
      </w:pP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For the purposes of this Section, a responsible corporate officer shall mean:</w:t>
      </w:r>
    </w:p>
    <w:p w14:paraId="7D06CC8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a president, secretary, treasurer, or vice-president of the corporation in charge of a principal business function, or any other person who performs similar policy or decision-making functions for the corporation (These responsible corporate officers are presumed to have the authority to sign permit applications unless the corporation has notified the administrative authority to the contrary); or</w:t>
      </w:r>
    </w:p>
    <w:p w14:paraId="08E08DC4"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the manager of one or more manufacturing, production, or operating facilities, provided that the manager is authorized to make management decisions that govern the operation of the regulated facility including:</w:t>
      </w:r>
    </w:p>
    <w:p w14:paraId="29AB5978" w14:textId="77777777" w:rsidR="00326E64" w:rsidRPr="00326E64" w:rsidRDefault="00326E64" w:rsidP="00326E64">
      <w:pPr>
        <w:spacing w:line="480" w:lineRule="auto"/>
        <w:ind w:firstLine="4320"/>
        <w:rPr>
          <w:rFonts w:ascii="Times New Roman" w:eastAsia="Calibri" w:hAnsi="Times New Roman" w:cs="Times New Roman"/>
          <w:u w:val="single"/>
        </w:rPr>
      </w:pPr>
      <w:r w:rsidRPr="00326E64">
        <w:rPr>
          <w:rFonts w:ascii="Times New Roman" w:eastAsia="Calibri" w:hAnsi="Times New Roman" w:cs="Times New Roman"/>
          <w:u w:val="single"/>
        </w:rPr>
        <w:t>(i).</w:t>
      </w:r>
      <w:r w:rsidRPr="00326E64">
        <w:rPr>
          <w:rFonts w:ascii="Times New Roman" w:eastAsia="Calibri" w:hAnsi="Times New Roman" w:cs="Times New Roman"/>
          <w:u w:val="single"/>
        </w:rPr>
        <w:tab/>
        <w:t>having the explicit or implicit duty of making major capital investment recommendations; and</w:t>
      </w:r>
    </w:p>
    <w:p w14:paraId="2D940C17" w14:textId="77777777" w:rsidR="00326E64" w:rsidRPr="00326E64" w:rsidRDefault="00326E64" w:rsidP="00326E64">
      <w:pPr>
        <w:spacing w:line="480" w:lineRule="auto"/>
        <w:ind w:firstLine="4320"/>
        <w:rPr>
          <w:rFonts w:ascii="Times New Roman" w:eastAsia="Calibri" w:hAnsi="Times New Roman" w:cs="Times New Roman"/>
          <w:u w:val="single"/>
        </w:rPr>
      </w:pPr>
      <w:r w:rsidRPr="00326E64">
        <w:rPr>
          <w:rFonts w:ascii="Times New Roman" w:eastAsia="Calibri" w:hAnsi="Times New Roman" w:cs="Times New Roman"/>
          <w:u w:val="single"/>
        </w:rPr>
        <w:t>(ii).</w:t>
      </w:r>
      <w:r w:rsidRPr="00326E64">
        <w:rPr>
          <w:rFonts w:ascii="Times New Roman" w:eastAsia="Calibri" w:hAnsi="Times New Roman" w:cs="Times New Roman"/>
          <w:u w:val="single"/>
        </w:rPr>
        <w:tab/>
        <w:t xml:space="preserve"> initiating and directing other comprehensive measures to ensure long term compliance with environmental laws and regulations; and</w:t>
      </w:r>
    </w:p>
    <w:p w14:paraId="23A08A60" w14:textId="77777777" w:rsidR="00326E64" w:rsidRPr="00326E64" w:rsidRDefault="00326E64" w:rsidP="00326E64">
      <w:pPr>
        <w:spacing w:line="480" w:lineRule="auto"/>
        <w:ind w:firstLine="3600"/>
        <w:rPr>
          <w:rFonts w:ascii="Times New Roman" w:eastAsia="Calibri" w:hAnsi="Times New Roman" w:cs="Times New Roman"/>
          <w:u w:val="single"/>
        </w:rPr>
      </w:pP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the manager has the authority to ensure that the necessary systems are established or actions are taken to gather complete and accurate information for permit application requirements; and</w:t>
      </w:r>
    </w:p>
    <w:p w14:paraId="60E94B4E" w14:textId="77777777" w:rsidR="00326E64" w:rsidRPr="00326E64" w:rsidRDefault="00326E64" w:rsidP="00326E64">
      <w:pPr>
        <w:spacing w:line="480" w:lineRule="auto"/>
        <w:ind w:firstLine="3600"/>
        <w:rPr>
          <w:rFonts w:ascii="Times New Roman" w:eastAsia="Calibri" w:hAnsi="Times New Roman" w:cs="Times New Roman"/>
        </w:rPr>
      </w:pP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the authority to sign documents has been assigned or delegated to the manager in accordance with corporate procedures. (Corporate procedures governing authority to sign permit applications may provide for assignment or delegation to applicable corporate positions rather than to specific individuals);</w:t>
      </w:r>
    </w:p>
    <w:p w14:paraId="70FAE5A5"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for a partnership or sole proprietorship—by a general partner or the proprietor, respectively; or</w:t>
      </w:r>
    </w:p>
    <w:p w14:paraId="6448E3E0"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 xml:space="preserve">for a municipality or a state, federal, or other public agency—by either a principal executive officer or ranking elected official; </w:t>
      </w:r>
    </w:p>
    <w:p w14:paraId="5B5AE8CE" w14:textId="77777777" w:rsidR="00326E64" w:rsidRPr="00326E64" w:rsidRDefault="00326E64" w:rsidP="00326E64">
      <w:pPr>
        <w:spacing w:line="480" w:lineRule="auto"/>
        <w:ind w:firstLine="2880"/>
        <w:rPr>
          <w:rFonts w:ascii="Times New Roman" w:eastAsia="Calibri" w:hAnsi="Times New Roman" w:cs="Times New Roman"/>
        </w:rPr>
      </w:pPr>
      <w:r w:rsidRPr="00326E64">
        <w:rPr>
          <w:rFonts w:ascii="Times New Roman" w:eastAsia="Calibri" w:hAnsi="Times New Roman" w:cs="Times New Roman"/>
          <w:u w:val="single"/>
        </w:rPr>
        <w:lastRenderedPageBreak/>
        <w:t>i.</w:t>
      </w:r>
      <w:r w:rsidRPr="00326E64">
        <w:rPr>
          <w:rFonts w:ascii="Times New Roman" w:eastAsia="Calibri" w:hAnsi="Times New Roman" w:cs="Times New Roman"/>
          <w:u w:val="single"/>
        </w:rPr>
        <w:tab/>
        <w:t>for purposes of this Paragraph, a principal executive officer of a federal agency includes:</w:t>
      </w:r>
    </w:p>
    <w:p w14:paraId="49A21E45"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the chief executive officer of the agency; or</w:t>
      </w:r>
    </w:p>
    <w:p w14:paraId="6B702B6F"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a senior executive officer having responsibility for the overall operations of a principal geographic unit of the agency (e.g., a regional administrator of EPA).</w:t>
      </w:r>
    </w:p>
    <w:p w14:paraId="493F308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2.</w:t>
      </w:r>
      <w:r w:rsidRPr="00326E64">
        <w:rPr>
          <w:rFonts w:ascii="Times New Roman" w:eastAsia="Calibri" w:hAnsi="Times New Roman" w:cs="Times New Roman"/>
          <w:u w:val="single"/>
        </w:rPr>
        <w:tab/>
        <w:t>All reports required by permits, and submission of other information requested by the administrative authority, shall be signed by a person described in Paragraph 1 of this Section, or by a duly authorized representative of that person. For the purposes of this Subparagraph, a person is a duly authorized representative only if:</w:t>
      </w:r>
    </w:p>
    <w:p w14:paraId="1835271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a.</w:t>
      </w:r>
      <w:r w:rsidRPr="00326E64">
        <w:rPr>
          <w:rFonts w:ascii="Times New Roman" w:eastAsia="Calibri" w:hAnsi="Times New Roman" w:cs="Times New Roman"/>
          <w:u w:val="single"/>
        </w:rPr>
        <w:tab/>
        <w:t>his or her authorization has been made in writing by a person described in Subparagraph 1 of this Section;</w:t>
      </w:r>
    </w:p>
    <w:p w14:paraId="4A28C5B0"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b.</w:t>
      </w:r>
      <w:r w:rsidRPr="00326E64">
        <w:rPr>
          <w:rFonts w:ascii="Times New Roman" w:eastAsia="Calibri" w:hAnsi="Times New Roman" w:cs="Times New Roman"/>
          <w:u w:val="single"/>
        </w:rPr>
        <w:tab/>
        <w:t>the authorization specifies either an individual or a position now having responsibility for the overall operation of the regulated facility or activity, such as the position of plant manager, operator of a well or a well field, superintendent, or a position of equivalent responsibility, or an individual or position having overall responsibility for environmental matters for the company. (A duly authorized representative may be either a named individual or an individual occupying a named position); and</w:t>
      </w:r>
    </w:p>
    <w:p w14:paraId="1934DD36"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the written authorization is submitted to the administrative authority.</w:t>
      </w:r>
    </w:p>
    <w:p w14:paraId="1C172627"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u w:val="single"/>
        </w:rPr>
        <w:t>C.</w:t>
      </w:r>
      <w:r w:rsidRPr="00326E64">
        <w:rPr>
          <w:rFonts w:ascii="Times New Roman" w:eastAsia="Calibri" w:hAnsi="Times New Roman" w:cs="Times New Roman"/>
          <w:u w:val="single"/>
        </w:rPr>
        <w:tab/>
        <w:t xml:space="preserve">Changes to Authorization. If an authorization under Subparagraph 2 of this Section is no longer accurate because a different individual or position now has responsibility for the overall operation of the facility, a new authorization satisfying the requirements of </w:t>
      </w:r>
      <w:r w:rsidRPr="00326E64">
        <w:rPr>
          <w:rFonts w:ascii="Times New Roman" w:eastAsia="Calibri" w:hAnsi="Times New Roman" w:cs="Times New Roman"/>
          <w:u w:val="single"/>
        </w:rPr>
        <w:lastRenderedPageBreak/>
        <w:t>Subparagraph 2 of this Section shall be submitted to the administrative authority prior to, or together with, any reports, information, or applications to be signed by an authorized representative.</w:t>
      </w:r>
    </w:p>
    <w:p w14:paraId="3F1F6F3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u w:val="single"/>
        </w:rPr>
        <w:t>D.</w:t>
      </w:r>
      <w:r w:rsidRPr="00326E64">
        <w:rPr>
          <w:rFonts w:ascii="Times New Roman" w:eastAsia="Calibri" w:hAnsi="Times New Roman" w:cs="Times New Roman"/>
          <w:u w:val="single"/>
        </w:rPr>
        <w:tab/>
        <w:t>Certification. Any person signing a document under the provisions of Subparagraphs 1 or 2 of this Section shall make the following certification.</w:t>
      </w:r>
    </w:p>
    <w:p w14:paraId="33FABB5E" w14:textId="77777777" w:rsidR="00326E64" w:rsidRPr="00326E64" w:rsidRDefault="00326E64" w:rsidP="00326E64">
      <w:pPr>
        <w:spacing w:line="480" w:lineRule="auto"/>
        <w:ind w:left="720" w:right="720"/>
        <w:rPr>
          <w:rFonts w:ascii="Times New Roman" w:eastAsia="Calibri" w:hAnsi="Times New Roman" w:cs="Times New Roman"/>
          <w:u w:val="single"/>
        </w:rPr>
      </w:pPr>
      <w:r w:rsidRPr="00326E64">
        <w:rPr>
          <w:rFonts w:ascii="Times New Roman" w:eastAsia="Calibri" w:hAnsi="Times New Roman" w:cs="Times New Roman"/>
          <w:u w:val="single"/>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is, to the best of my knowledge and belief, true, accurate, and complete. I am aware that there are significant penalties for submitting false information, including the possibility of fine and imprisonment for knowing violations."</w:t>
      </w:r>
    </w:p>
    <w:p w14:paraId="34F2E0F0"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AUTHORITY NOTE:</w:t>
      </w:r>
      <w:r w:rsidRPr="00326E64">
        <w:rPr>
          <w:rFonts w:ascii="Times New Roman" w:eastAsia="Calibri" w:hAnsi="Times New Roman" w:cs="Times New Roman"/>
        </w:rPr>
        <w:tab/>
        <w:t>Promulgated in accordance with R.S. 30:2074(B)(1)(c) and (B)(3)(e).</w:t>
      </w:r>
    </w:p>
    <w:p w14:paraId="64AC1E38"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HISTORICAL NOTE:</w:t>
      </w:r>
      <w:r w:rsidRPr="00326E64">
        <w:rPr>
          <w:rFonts w:ascii="Times New Roman" w:eastAsia="Calibri" w:hAnsi="Times New Roman" w:cs="Times New Roman"/>
        </w:rPr>
        <w:tab/>
        <w:t>Promulgated by the Department of Environmental Quality, Office of the Secretary, Legal Affairs Division, LR 51:</w:t>
      </w:r>
    </w:p>
    <w:p w14:paraId="3A102BAD" w14:textId="77777777" w:rsidR="00326E64" w:rsidRPr="00326E64" w:rsidRDefault="00326E64" w:rsidP="00326E64">
      <w:pPr>
        <w:tabs>
          <w:tab w:val="left" w:pos="288"/>
        </w:tabs>
        <w:rPr>
          <w:rFonts w:ascii="Times New Roman" w:eastAsia="Calibri" w:hAnsi="Times New Roman" w:cs="Times New Roman"/>
        </w:rPr>
      </w:pPr>
    </w:p>
    <w:p w14:paraId="196863D1" w14:textId="77777777" w:rsidR="00326E64" w:rsidRPr="00326E64" w:rsidRDefault="00326E64" w:rsidP="00326E64">
      <w:pPr>
        <w:spacing w:line="480" w:lineRule="auto"/>
        <w:rPr>
          <w:rFonts w:ascii="Times New Roman" w:eastAsia="Calibri" w:hAnsi="Times New Roman" w:cs="Times New Roman"/>
          <w:b/>
        </w:rPr>
      </w:pPr>
      <w:bookmarkStart w:id="21" w:name="_Toc483475164"/>
      <w:r w:rsidRPr="00326E64">
        <w:rPr>
          <w:rFonts w:ascii="Times New Roman" w:eastAsia="Calibri" w:hAnsi="Times New Roman" w:cs="Times New Roman"/>
          <w:b/>
        </w:rPr>
        <w:t>Subchapter B.</w:t>
      </w:r>
      <w:bookmarkEnd w:id="20"/>
      <w:r w:rsidRPr="00326E64">
        <w:rPr>
          <w:rFonts w:ascii="Times New Roman" w:eastAsia="Calibri" w:hAnsi="Times New Roman" w:cs="Times New Roman"/>
          <w:b/>
        </w:rPr>
        <w:t xml:space="preserve"> </w:t>
      </w:r>
      <w:bookmarkStart w:id="22" w:name="TOCT_SubC362"/>
      <w:bookmarkStart w:id="23" w:name="TOCT_SubC313"/>
      <w:bookmarkStart w:id="24" w:name="TOCT_SubC314"/>
      <w:r w:rsidRPr="00326E64">
        <w:rPr>
          <w:rFonts w:ascii="Times New Roman" w:eastAsia="Calibri" w:hAnsi="Times New Roman" w:cs="Times New Roman"/>
          <w:b/>
        </w:rPr>
        <w:t>Appendices</w:t>
      </w:r>
      <w:bookmarkEnd w:id="21"/>
      <w:bookmarkEnd w:id="22"/>
      <w:bookmarkEnd w:id="23"/>
      <w:bookmarkEnd w:id="24"/>
    </w:p>
    <w:p w14:paraId="54CA05D7" w14:textId="77777777" w:rsidR="00326E64" w:rsidRPr="00326E64" w:rsidRDefault="00326E64" w:rsidP="00326E64">
      <w:pPr>
        <w:spacing w:line="480" w:lineRule="auto"/>
        <w:rPr>
          <w:rFonts w:ascii="Times New Roman" w:eastAsia="Calibri" w:hAnsi="Times New Roman" w:cs="Times New Roman"/>
          <w:b/>
          <w:u w:val="single"/>
        </w:rPr>
      </w:pPr>
      <w:bookmarkStart w:id="25" w:name="_Toc483475165"/>
      <w:r w:rsidRPr="00326E64">
        <w:rPr>
          <w:rFonts w:ascii="Times New Roman" w:eastAsia="Calibri" w:hAnsi="Times New Roman" w:cs="Times New Roman"/>
          <w:b/>
        </w:rPr>
        <w:t>§7395.</w:t>
      </w:r>
      <w:r w:rsidRPr="00326E64">
        <w:rPr>
          <w:rFonts w:ascii="Times New Roman" w:eastAsia="Calibri" w:hAnsi="Times New Roman" w:cs="Times New Roman"/>
          <w:b/>
          <w:strike/>
        </w:rPr>
        <w:tab/>
        <w:t>Financial Assurances Documents―Appendices A, B, C, D, E, F, G, H, I, and J [Formerly §7135]</w:t>
      </w:r>
      <w:bookmarkEnd w:id="25"/>
      <w:r w:rsidRPr="00326E64">
        <w:rPr>
          <w:rFonts w:ascii="Times New Roman" w:eastAsia="Calibri" w:hAnsi="Times New Roman" w:cs="Times New Roman"/>
          <w:b/>
          <w:u w:val="single"/>
        </w:rPr>
        <w:t>Repealed.</w:t>
      </w:r>
    </w:p>
    <w:p w14:paraId="654EFCC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NOTE: Within this Section, affected person means a commercial preparer of sewage sludge or a commercial land applier of biosolids, as applicable.</w:t>
      </w:r>
    </w:p>
    <w:p w14:paraId="2244E2F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Appendix A—Liability Endorsement</w:t>
      </w:r>
    </w:p>
    <w:p w14:paraId="47C41B2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lastRenderedPageBreak/>
        <w:t xml:space="preserve">[Insert, as applicable: </w:t>
      </w:r>
      <w:r w:rsidRPr="00326E64">
        <w:rPr>
          <w:rFonts w:ascii="Times New Roman" w:eastAsia="Calibri" w:hAnsi="Times New Roman" w:cs="Times New Roman"/>
          <w:strike/>
        </w:rPr>
        <w:br/>
        <w:t>"COMMERCIAL PREPARER OF SEWAGE SLUDGE" or "COMMERCIAL LAND APPLIER OF BIOSOLIDS"]</w:t>
      </w:r>
    </w:p>
    <w:p w14:paraId="4952D04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LIABILITY ENDORSEMENT</w:t>
      </w:r>
    </w:p>
    <w:p w14:paraId="090D329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Secretary</w:t>
      </w:r>
    </w:p>
    <w:p w14:paraId="5A59F1C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Louisiana Department of Environmental Quality</w:t>
      </w:r>
    </w:p>
    <w:p w14:paraId="479CC72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Post Office Box 4313</w:t>
      </w:r>
    </w:p>
    <w:p w14:paraId="649183B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Baton Rouge, Louisiana 70821-4313</w:t>
      </w:r>
    </w:p>
    <w:p w14:paraId="3D775ED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Attention:</w:t>
      </w:r>
      <w:r w:rsidRPr="00326E64">
        <w:rPr>
          <w:rFonts w:ascii="Times New Roman" w:eastAsia="Calibri" w:hAnsi="Times New Roman" w:cs="Times New Roman"/>
          <w:strike/>
        </w:rPr>
        <w:tab/>
        <w:t>Office of Environmental Services</w:t>
      </w:r>
    </w:p>
    <w:p w14:paraId="277F64D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Dear Sir:</w:t>
      </w:r>
    </w:p>
    <w:p w14:paraId="5D4D093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This endorsement certifies that the policy to which the endorsement is attached provides liability insurance covering bodily injury and property damage in connection with [name of the insured, which must be the affected person or the operator. (Note: The operator will provide the liability-insurance documentation only when the affected person is a public governing body and the public governing body is not the operator.)] The insured's obligation to demonstrate financial assurance is required in accordance with Louisiana Administrative Code (LAC), Title 33, Part IX.7307.A. The coverage applies at [list site identification number, site name, facility name, facility permit number, and facility address] for sudden and accidental occurrences. The limits of liability are per occurrence, and annual aggregate, per site, exclusive of legal-defense costs.</w:t>
      </w:r>
    </w:p>
    <w:p w14:paraId="6F674CC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 xml:space="preserve">The insurance afforded with respect to such occurrences is subject to all of the terms and conditions of the policy; provided, however, that any provisions of the policy </w:t>
      </w:r>
      <w:r w:rsidRPr="00326E64">
        <w:rPr>
          <w:rFonts w:ascii="Times New Roman" w:eastAsia="Calibri" w:hAnsi="Times New Roman" w:cs="Times New Roman"/>
          <w:strike/>
        </w:rPr>
        <w:lastRenderedPageBreak/>
        <w:t>inconsistent with Subclauses (1)-(5), below, are hereby amended to conform with Subclauses (1)-(5), below:</w:t>
      </w:r>
    </w:p>
    <w:p w14:paraId="68F991A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Bankruptcy or insolvency of the insured shall not relieve the insurer of its obligations under the policy to which this endorsement is attached.</w:t>
      </w:r>
    </w:p>
    <w:p w14:paraId="4954F32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The insurer is liable for the payment of amounts within any deductible applicable to the policy, with a right of reimbursement by the insured for any such payment made by the insurer. This provision does not apply with respect to that amount of any deductible for which coverage is demonstrated as specified in LAC 33:IX.7307.D.1.b-d.</w:t>
      </w:r>
    </w:p>
    <w:p w14:paraId="5B01104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(3).</w:t>
      </w:r>
      <w:r w:rsidRPr="00326E64">
        <w:rPr>
          <w:rFonts w:ascii="Times New Roman" w:eastAsia="Calibri" w:hAnsi="Times New Roman" w:cs="Times New Roman"/>
          <w:strike/>
        </w:rPr>
        <w:tab/>
        <w:t>Whenever requested by the administrative authority, the insurer agrees to furnish to the administrative authority a signed duplicate original of the policy and all endorsements.</w:t>
      </w:r>
    </w:p>
    <w:p w14:paraId="52DB8B2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(4).</w:t>
      </w:r>
      <w:r w:rsidRPr="00326E64">
        <w:rPr>
          <w:rFonts w:ascii="Times New Roman" w:eastAsia="Calibri" w:hAnsi="Times New Roman" w:cs="Times New Roman"/>
          <w:strike/>
        </w:rPr>
        <w:tab/>
        <w:t>Cancellation of this endorsement, whether by the insurer or the insured, will be effective only upon written notice and upon lapse of 60 days after a copy of such written notice is received by the administrative authority.</w:t>
      </w:r>
    </w:p>
    <w:p w14:paraId="4B772D7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(5).</w:t>
      </w:r>
      <w:r w:rsidRPr="00326E64">
        <w:rPr>
          <w:rFonts w:ascii="Times New Roman" w:eastAsia="Calibri" w:hAnsi="Times New Roman" w:cs="Times New Roman"/>
          <w:strike/>
        </w:rPr>
        <w:tab/>
        <w:t>Any other termination of this endorsement will be effective only upon written notice and upon lapse of 30 days after a copy of such written notice is received by the administrative authority.</w:t>
      </w:r>
    </w:p>
    <w:p w14:paraId="361717B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Attached is the endorsement which forms part of the policy [policy number] issued by [name of insurer], herein called the insurer, of [address of the insurer] to [name of the insured] of [address of the insured], this [date]. The effective date of said policy is [date].</w:t>
      </w:r>
    </w:p>
    <w:p w14:paraId="2EF50B1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 xml:space="preserve">I hereby certify that the wording of this endorsement is identical to the wording specified in LAC 33:IX.7395.Appendix A, effective on the date first written above and that the insurer is licensed to transact the business of insurance, or eligible to provide insurance as an </w:t>
      </w:r>
      <w:r w:rsidRPr="00326E64">
        <w:rPr>
          <w:rFonts w:ascii="Times New Roman" w:eastAsia="Calibri" w:hAnsi="Times New Roman" w:cs="Times New Roman"/>
          <w:strike/>
        </w:rPr>
        <w:lastRenderedPageBreak/>
        <w:t>excess or surplus lines insurer, in one or more states, and is admitted, authorized, or eligible to conduct insurance business in the State of Louisiana.</w:t>
      </w:r>
    </w:p>
    <w:p w14:paraId="09B73BC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[Signature of authorized representative of insurer]</w:t>
      </w:r>
    </w:p>
    <w:p w14:paraId="557C697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[Typed name of authorized representative of insurer]</w:t>
      </w:r>
    </w:p>
    <w:p w14:paraId="20E74BA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[Title of authorized representative of insurer]</w:t>
      </w:r>
    </w:p>
    <w:p w14:paraId="644E39C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[Address of authorized representative of insurer]</w:t>
      </w:r>
    </w:p>
    <w:p w14:paraId="280C828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Appendix B―Certificate of Insurance</w:t>
      </w:r>
    </w:p>
    <w:p w14:paraId="02F7739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[Insert, as applicable: </w:t>
      </w:r>
      <w:r w:rsidRPr="00326E64">
        <w:rPr>
          <w:rFonts w:ascii="Times New Roman" w:eastAsia="Calibri" w:hAnsi="Times New Roman" w:cs="Times New Roman"/>
          <w:strike/>
        </w:rPr>
        <w:br/>
        <w:t>"COMMERCIAL PREPARER OF SEWAGE SLUDGE" or "COMMERCIAL LAND APPLIER OF BIOSOLIDS"]</w:t>
      </w:r>
    </w:p>
    <w:p w14:paraId="6A19604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CERTIFICATE OF LIABILITY INSURANCE</w:t>
      </w:r>
    </w:p>
    <w:p w14:paraId="6A90A05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Secretary</w:t>
      </w:r>
    </w:p>
    <w:p w14:paraId="49646B8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Louisiana Department of Environmental Quality</w:t>
      </w:r>
    </w:p>
    <w:p w14:paraId="2C7DAA7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Post Office Box 4313</w:t>
      </w:r>
    </w:p>
    <w:p w14:paraId="6C00F58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Baton Rouge, Louisiana 70821-4313</w:t>
      </w:r>
    </w:p>
    <w:p w14:paraId="7BD7867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Attention:</w:t>
      </w:r>
      <w:r w:rsidRPr="00326E64">
        <w:rPr>
          <w:rFonts w:ascii="Times New Roman" w:eastAsia="Calibri" w:hAnsi="Times New Roman" w:cs="Times New Roman"/>
          <w:strike/>
        </w:rPr>
        <w:tab/>
        <w:t>Office of Environmental Services</w:t>
      </w:r>
    </w:p>
    <w:p w14:paraId="164E886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Dear Sir:</w:t>
      </w:r>
    </w:p>
    <w:p w14:paraId="5DD2C28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 xml:space="preserve">[Name of insurer], the "insurer," of [address of insurer] hereby certifies that it has issued liability insurance covering bodily injury and property damage to [name of insured, which must be the affected person or the facility], the "insured," of [address of insured] in connection with the insured's obligation to demonstrate financial assurance under Louisiana Administrative Code (LAC), Title 33, Part IX.7307.A. The coverage applies at [list agency interest number(s), site name(s), facility name(s), facility permit number(s), and site address(es)] for sudden and </w:t>
      </w:r>
      <w:r w:rsidRPr="00326E64">
        <w:rPr>
          <w:rFonts w:ascii="Times New Roman" w:eastAsia="Calibri" w:hAnsi="Times New Roman" w:cs="Times New Roman"/>
          <w:strike/>
        </w:rPr>
        <w:lastRenderedPageBreak/>
        <w:t>accidental occurrences. The limits of liability are each occurrence and annual aggregate, per site, exclusive of legal-defense costs. The coverage is provided under policy number [policy number], issued on [date]. The effective date of said policy is [date].</w:t>
      </w:r>
    </w:p>
    <w:p w14:paraId="797DDEA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insurer further certifies the following with respect to the insurance described in Paragraph (A):</w:t>
      </w:r>
    </w:p>
    <w:p w14:paraId="6CD49C0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Bankruptcy or insolvency of the insured shall not relieve the insurer of its obligations under the policy.</w:t>
      </w:r>
    </w:p>
    <w:p w14:paraId="33731BF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The insurer is liable for the payment of amounts within any deductible applicable to the policy, with a right of reimbursement by the insured for any such payment made by the insurer. This provision does not apply with respect to that amount of any deductible for which coverage is demonstrated, as specified in LAC 33:IX.7307.D.1.b – d.</w:t>
      </w:r>
    </w:p>
    <w:p w14:paraId="62041DE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t xml:space="preserve"> </w:t>
      </w:r>
      <w:r w:rsidRPr="00326E64">
        <w:rPr>
          <w:rFonts w:ascii="Times New Roman" w:eastAsia="Calibri" w:hAnsi="Times New Roman" w:cs="Times New Roman"/>
          <w:strike/>
        </w:rPr>
        <w:t>(3).</w:t>
      </w:r>
      <w:r w:rsidRPr="00326E64">
        <w:rPr>
          <w:rFonts w:ascii="Times New Roman" w:eastAsia="Calibri" w:hAnsi="Times New Roman" w:cs="Times New Roman"/>
          <w:strike/>
        </w:rPr>
        <w:tab/>
        <w:t>Whenever requested by the administrative authority, the insurer agrees to furnish to him a signed duplicate original of the policy and all endorsements.</w:t>
      </w:r>
    </w:p>
    <w:p w14:paraId="52FC24F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(4).</w:t>
      </w:r>
      <w:r w:rsidRPr="00326E64">
        <w:rPr>
          <w:rFonts w:ascii="Times New Roman" w:eastAsia="Calibri" w:hAnsi="Times New Roman" w:cs="Times New Roman"/>
          <w:strike/>
        </w:rPr>
        <w:tab/>
        <w:t>Cancellation of the insurance, whether by the insurer or the insured, will be effective only upon written notice and upon lapse of 60 days after a copy of such written notice is received by the administrative authority.</w:t>
      </w:r>
    </w:p>
    <w:p w14:paraId="2E2245A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(5).</w:t>
      </w:r>
      <w:r w:rsidRPr="00326E64">
        <w:rPr>
          <w:rFonts w:ascii="Times New Roman" w:eastAsia="Calibri" w:hAnsi="Times New Roman" w:cs="Times New Roman"/>
          <w:strike/>
        </w:rPr>
        <w:tab/>
        <w:t>Any other termination of the insurance will be effective only upon written notice and upon lapse of 30 days after a copy of such written notice is received by the administrative authority.</w:t>
      </w:r>
    </w:p>
    <w:p w14:paraId="73D8286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 xml:space="preserve">I hereby certify that the wording of this certificate is identical to the wording specified in LAC 33:IX.7395.Appendix B, as such regulations were constituted on the date first written above, and that the insurer is licensed to transact the business of insurance, or eligible to </w:t>
      </w:r>
      <w:r w:rsidRPr="00326E64">
        <w:rPr>
          <w:rFonts w:ascii="Times New Roman" w:eastAsia="Calibri" w:hAnsi="Times New Roman" w:cs="Times New Roman"/>
          <w:strike/>
        </w:rPr>
        <w:lastRenderedPageBreak/>
        <w:t>provide insurance as an excess or surplus lines insurer, in one or more states, and is admitted, authorized, or eligible to conduct insurance business in the State of Louisiana.</w:t>
      </w:r>
    </w:p>
    <w:p w14:paraId="4692215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[Signature of authorized representative of insurer]</w:t>
      </w:r>
    </w:p>
    <w:p w14:paraId="6F15526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[Typed name of authorized representative of insurer]</w:t>
      </w:r>
    </w:p>
    <w:p w14:paraId="20063C4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[Title of authorized representative of insurer]</w:t>
      </w:r>
    </w:p>
    <w:p w14:paraId="2A43AFD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[Address of authorized representative of insurer]</w:t>
      </w:r>
    </w:p>
    <w:p w14:paraId="01BD6D2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Appendix C―Letter of Credit</w:t>
      </w:r>
    </w:p>
    <w:p w14:paraId="5B1029E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[Insert, as applicable: </w:t>
      </w:r>
      <w:r w:rsidRPr="00326E64">
        <w:rPr>
          <w:rFonts w:ascii="Times New Roman" w:eastAsia="Calibri" w:hAnsi="Times New Roman" w:cs="Times New Roman"/>
          <w:strike/>
        </w:rPr>
        <w:br/>
        <w:t>"COMMERCIAL PREPARER OF SEWAGE SLUDGE" or "COMMERCIAL LAND APPLIER OF BIOSOLIDS"]</w:t>
      </w:r>
    </w:p>
    <w:p w14:paraId="1625905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IRREVOCABLE LETTER OF CREDIT</w:t>
      </w:r>
    </w:p>
    <w:p w14:paraId="3A1F344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Secretary</w:t>
      </w:r>
    </w:p>
    <w:p w14:paraId="5A250CA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Louisiana Department of Environmental Quality</w:t>
      </w:r>
    </w:p>
    <w:p w14:paraId="5A63A82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Post Office Box 4313</w:t>
      </w:r>
    </w:p>
    <w:p w14:paraId="3C37BF0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Baton Rouge, Louisiana 70821-4313</w:t>
      </w:r>
    </w:p>
    <w:p w14:paraId="41A96DD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Attention:</w:t>
      </w:r>
      <w:r w:rsidRPr="00326E64">
        <w:rPr>
          <w:rFonts w:ascii="Times New Roman" w:eastAsia="Calibri" w:hAnsi="Times New Roman" w:cs="Times New Roman"/>
          <w:strike/>
        </w:rPr>
        <w:tab/>
        <w:t>Office of Environmental Services</w:t>
      </w:r>
    </w:p>
    <w:p w14:paraId="1BE72D8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Dear Sir:</w:t>
      </w:r>
    </w:p>
    <w:p w14:paraId="0EC9F01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We hereby establish our Irrevocable Standby Letter of Credit No.[number] at the request and for the account of [affected person’s name and address] for its [list site identification number(s), site name(s), facility name(s), and facility permit number(s)] at [location(s)], Louisiana, in favor of any governmental body, person, or other entity for any sum or sums up to the aggregate amount of U.S. dollars [amount] upon presentation of:</w:t>
      </w:r>
    </w:p>
    <w:p w14:paraId="740C01E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strike/>
        </w:rPr>
        <w:t>(A).</w:t>
      </w:r>
      <w:r w:rsidRPr="00326E64">
        <w:rPr>
          <w:rFonts w:ascii="Times New Roman" w:eastAsia="Calibri" w:hAnsi="Times New Roman" w:cs="Times New Roman"/>
          <w:strike/>
        </w:rPr>
        <w:tab/>
        <w:t>A final judgment issued by a competent court of law in favor of a governmental body, person, or other entity and against [affected person’s name] for sudden and accidental occurrences for claims arising out of injury to persons or property due to operations by the affected person at [site location(s)] as set forth in the Louisiana Administrative Code (LAC), Title 33, Part IX.7307.A.</w:t>
      </w:r>
    </w:p>
    <w:p w14:paraId="0BB22EE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A sight draft bearing reference to the Letter of Credit No. [number] drawn by the governmental body, person, or other entity, in whose favor the judgment has been rendered as evidenced by documentary requirement in Paragraph (A).</w:t>
      </w:r>
    </w:p>
    <w:p w14:paraId="4DBDECB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Letter of Credit is effective as of [date] and will expire on [date], but such expiration date will be automatically extended for a period of at least one year on the above expiration date [date] and on each successive expiration date thereafter, unless, at least 120 days before the then-current expiration date, we notify both the administrative authority and [name of affected person] by certified mail that we have decided not to extend this Letter of Credit beyond the then-current expiration date. In the event we give such notification, any unused portion of this Letter of Credit shall be available upon presentation of your sight draft for 120 days after the date of receipt by both the Department of Environmental Quality and [name of affected person] as shown on the signed return receipts.</w:t>
      </w:r>
    </w:p>
    <w:p w14:paraId="0A2F2D6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Whenever this Letter of Credit is drawn under and in compliance with the terms of this credit, we shall duly honor such draft upon presentation to us, and we shall deposit the amount of the draft directly into the standby trust fund of [name of affected person] in accordance with the administrative authority's instructions.</w:t>
      </w:r>
    </w:p>
    <w:p w14:paraId="4EEDAB1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strike/>
        </w:rPr>
        <w:t>Except to the extent otherwise expressly agreed to, the Uniform Customs and Practice for Documentary Letters of Credit (1983), International Chamber of Commerce Publication No. 400, shall apply to this Letter of Credit.</w:t>
      </w:r>
    </w:p>
    <w:p w14:paraId="0EC9C06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We certify that the wording of this Letter of Credit is identical to the wording specified in LAC 33:IX.7395.Appendix C, effective on the date shown immediately below.</w:t>
      </w:r>
    </w:p>
    <w:p w14:paraId="6CE67BC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[Signature(s) and title(s) of official(s) of issuing institution(s)]</w:t>
      </w:r>
    </w:p>
    <w:p w14:paraId="6127EED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[date]</w:t>
      </w:r>
    </w:p>
    <w:p w14:paraId="54019A4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Appendix D―Trust Agreement</w:t>
      </w:r>
    </w:p>
    <w:p w14:paraId="5C883AC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[Insert, as applicable: </w:t>
      </w:r>
      <w:r w:rsidRPr="00326E64">
        <w:rPr>
          <w:rFonts w:ascii="Times New Roman" w:eastAsia="Calibri" w:hAnsi="Times New Roman" w:cs="Times New Roman"/>
          <w:strike/>
        </w:rPr>
        <w:br/>
        <w:t>"COMMERCIAL PREPARER OF SEWAGE SLUDGE" or "COMMERCIAL LAND APPLIER OF BIOSOLIDS"]</w:t>
      </w:r>
    </w:p>
    <w:p w14:paraId="7144E6B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TRUST AGREEMENT/STANDBY TRUST AGREEMENT</w:t>
      </w:r>
    </w:p>
    <w:p w14:paraId="7B53302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This Trust Agreement (the "Agreement") is entered into as of [date] by and between [name of affected person], a [name of state] [insert "corporation," "partnership," "association," or "proprietorship"], the "Grantor," and [name of corporate trustee], [insert "incorporated in the State of" or "a national bank" or "a state bank"], the "Trustee."</w:t>
      </w:r>
    </w:p>
    <w:p w14:paraId="416B1AD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WHEREAS, the Department of Environmental Quality of the State of Louisiana, an agency of the State of Louisiana, has established certain regulations applicable to the Grantor, requiring that an affected person shall provide assurance that funds will be available when needed for closure of the facility;</w:t>
      </w:r>
    </w:p>
    <w:p w14:paraId="44F084E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WHEREAS, the Grantor has elected to establish a trust to provide all or part of such financial assurance for the facility identified herein;</w:t>
      </w:r>
    </w:p>
    <w:p w14:paraId="5A26E4C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lastRenderedPageBreak/>
        <w:t>WHEREAS, the Grantor, acting through its duly authorized officers, has selected [the Trustee] to be the trustee under this Agreement, and [the Trustee] is willing to act as trustee.</w:t>
      </w:r>
    </w:p>
    <w:p w14:paraId="2124CC1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NOW, THEREFORE, the Grantor and the Trustee agree as follows:</w:t>
      </w:r>
    </w:p>
    <w:p w14:paraId="1BB56D1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1. DEFINITIONS</w:t>
      </w:r>
    </w:p>
    <w:p w14:paraId="1A27A93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As used in this Agreement:</w:t>
      </w:r>
    </w:p>
    <w:p w14:paraId="7E932E8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term "Grantor" means the affected person who enters into this Agreement and any successors or assigns of the Grantor.</w:t>
      </w:r>
    </w:p>
    <w:p w14:paraId="6F6C7D1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term "Trustee" means the Trustee who enters into this Agreement and any successor trustee.</w:t>
      </w:r>
    </w:p>
    <w:p w14:paraId="3008581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The term "Secretary" means the Secretary of the Louisiana Department of Environmental Quality.</w:t>
      </w:r>
    </w:p>
    <w:p w14:paraId="4B2837C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The term "Administrative Authority" means the Secretary or a person designated by him to act therefor.</w:t>
      </w:r>
    </w:p>
    <w:p w14:paraId="60EFD94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2.</w:t>
      </w:r>
      <w:r w:rsidRPr="00326E64">
        <w:rPr>
          <w:rFonts w:ascii="Times New Roman" w:eastAsia="Calibri" w:hAnsi="Times New Roman" w:cs="Times New Roman"/>
        </w:rPr>
        <w:tab/>
      </w:r>
      <w:r w:rsidRPr="00326E64">
        <w:rPr>
          <w:rFonts w:ascii="Times New Roman" w:eastAsia="Calibri" w:hAnsi="Times New Roman" w:cs="Times New Roman"/>
          <w:strike/>
        </w:rPr>
        <w:t>IDENTIFICATION OF FACILITIES AND COST ESTIMATES</w:t>
      </w:r>
    </w:p>
    <w:p w14:paraId="6C70584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This Agreement pertains to the facilities and cost estimates identified on attached Schedule A. [On Schedule A, list the agency interest number, site name, facility name, facility permit number, and the annual aggregate amount of liability coverage or current closure cost estimates, or portions thereof, for which financial assurance is demonstrated by this Agreement.]</w:t>
      </w:r>
    </w:p>
    <w:p w14:paraId="2CF79EE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3.</w:t>
      </w:r>
      <w:r w:rsidRPr="00326E64">
        <w:rPr>
          <w:rFonts w:ascii="Times New Roman" w:eastAsia="Calibri" w:hAnsi="Times New Roman" w:cs="Times New Roman"/>
          <w:strike/>
        </w:rPr>
        <w:tab/>
        <w:t>ESTABLISHMENT OF FUND</w:t>
      </w:r>
    </w:p>
    <w:p w14:paraId="3298726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 xml:space="preserve">The Grantor and the Trustee hereby establish a trust fund, the "Fund," for the benefit of the Louisiana Department of Environmental Quality. The Grantor and the Trustee intend that no third party shall have access to the Fund, except as herein provided. The Fund is established initially as consisting of the property, which is acceptable to the Trustee, described in Schedule B </w:t>
      </w:r>
      <w:r w:rsidRPr="00326E64">
        <w:rPr>
          <w:rFonts w:ascii="Times New Roman" w:eastAsia="Calibri" w:hAnsi="Times New Roman" w:cs="Times New Roman"/>
          <w:strike/>
        </w:rPr>
        <w:lastRenderedPageBreak/>
        <w:t>attached hereto. [Note: Standby Trust Agreements need not be funded at the time of execution. In the case of Standby Trust Agreements, Schedule B should be blank except for a statement that the Agreement is not presently funded, but shall be funded by the financial assurance document used by the Grantor in accordance with the terms of that document.] Such property and any other property subsequently transferred to the Trustee is referred to as the Fund, together with all earnings and profits thereon, less any payments or distributions made by the Trustee pursuant to this Agreement. The Fund shall be held by the Trustee, in trust, as hereinafter provided. The Trustee shall not be responsible nor shall it undertake any responsibility for the amount or adequacy of, nor any duty to collect from the Grantor, any payments necessary to discharge any liabilities of the Grantor established by the administrative authority.</w:t>
      </w:r>
    </w:p>
    <w:p w14:paraId="1D6A2C9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4.</w:t>
      </w:r>
      <w:r w:rsidRPr="00326E64">
        <w:rPr>
          <w:rFonts w:ascii="Times New Roman" w:eastAsia="Calibri" w:hAnsi="Times New Roman" w:cs="Times New Roman"/>
        </w:rPr>
        <w:tab/>
      </w:r>
      <w:r w:rsidRPr="00326E64">
        <w:rPr>
          <w:rFonts w:ascii="Times New Roman" w:eastAsia="Calibri" w:hAnsi="Times New Roman" w:cs="Times New Roman"/>
          <w:strike/>
        </w:rPr>
        <w:t>PAYMENT FOR CLOSURE OR LIABILITY COVERAGE</w:t>
      </w:r>
    </w:p>
    <w:p w14:paraId="0D3C8B4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Trustee shall make payments from the Fund as the administrative authority shall direct, in writing, to provide for the payment of the costs of [liability claims or closure care] of the facility covered by this Agreement. The Trustee shall reimburse the Grantor or other persons as specified by the administrative authority from the Fund for [liability claims or closure] expenditures in such amounts as the administrative authority shall direct in writing. In addition, the Trustee shall refund to the Grantor such amounts as the administrative authority specifies in writing. Upon refund, such funds shall no longer constitute part of the Fund as defined herein.</w:t>
      </w:r>
    </w:p>
    <w:p w14:paraId="66B7B2A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5.</w:t>
      </w:r>
      <w:r w:rsidRPr="00326E64">
        <w:rPr>
          <w:rFonts w:ascii="Times New Roman" w:eastAsia="Calibri" w:hAnsi="Times New Roman" w:cs="Times New Roman"/>
        </w:rPr>
        <w:tab/>
      </w:r>
      <w:r w:rsidRPr="00326E64">
        <w:rPr>
          <w:rFonts w:ascii="Times New Roman" w:eastAsia="Calibri" w:hAnsi="Times New Roman" w:cs="Times New Roman"/>
          <w:strike/>
        </w:rPr>
        <w:t>PAYMENTS COMPRISED BY THE FUND</w:t>
      </w:r>
    </w:p>
    <w:p w14:paraId="304E842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Payments made to the Trustee for the Fund shall consist of cash or securities acceptable to the Trustee.</w:t>
      </w:r>
    </w:p>
    <w:p w14:paraId="4F313FF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6.</w:t>
      </w:r>
      <w:r w:rsidRPr="00326E64">
        <w:rPr>
          <w:rFonts w:ascii="Times New Roman" w:eastAsia="Calibri" w:hAnsi="Times New Roman" w:cs="Times New Roman"/>
        </w:rPr>
        <w:tab/>
      </w:r>
      <w:r w:rsidRPr="00326E64">
        <w:rPr>
          <w:rFonts w:ascii="Times New Roman" w:eastAsia="Calibri" w:hAnsi="Times New Roman" w:cs="Times New Roman"/>
          <w:strike/>
        </w:rPr>
        <w:t>TRUSTEE MANAGEMENT</w:t>
      </w:r>
    </w:p>
    <w:p w14:paraId="2F7082A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strike/>
        </w:rPr>
        <w:t>The Trustee shall invest and reinvest the principal and income of the Fund and keep the Fund invested as a single fund, without distinction between principal and income, in accordance with general investment policies and guidelines which the Grantor may communicate in writing to the Trustee from time to time, subject, however, to the provisions of this Section. In investing, reinvesting, exchanging, selling, and managing the Fund, the Trustee shall discharge his duties with respect to the trust fund solely in the interest of the beneficiary and with the care, skill, prudence, and diligence under the circumstances then prevailing which persons of prudence, acting in a like capacity and familiar with such matters, would use in the conduct of an enterprise of like character and with like aims, except that:</w:t>
      </w:r>
    </w:p>
    <w:p w14:paraId="0A5063C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Securities or other obligations of the Grantor, or any owner of the [facility or facilities] or any of their affiliates as defined in the Investment Company Act of 1940, as amended, 15 U.S.C. 80a-2.(a), shall not be acquired or held, unless they are securities or other obligations of the federal or a state government.</w:t>
      </w:r>
    </w:p>
    <w:p w14:paraId="490FDA5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The Trustee is authorized to invest the Fund in time or demand deposits of the Trustee, to the extent insured by an agency of the federal or state government; and</w:t>
      </w:r>
    </w:p>
    <w:p w14:paraId="00377B9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The Trustee is authorized to hold cash awaiting investment or distribution uninvested for a reasonable time and without liability for the payment of interest thereon.</w:t>
      </w:r>
    </w:p>
    <w:p w14:paraId="6B8E319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7.</w:t>
      </w:r>
      <w:r w:rsidRPr="00326E64">
        <w:rPr>
          <w:rFonts w:ascii="Times New Roman" w:eastAsia="Calibri" w:hAnsi="Times New Roman" w:cs="Times New Roman"/>
        </w:rPr>
        <w:tab/>
      </w:r>
      <w:r w:rsidRPr="00326E64">
        <w:rPr>
          <w:rFonts w:ascii="Times New Roman" w:eastAsia="Calibri" w:hAnsi="Times New Roman" w:cs="Times New Roman"/>
          <w:strike/>
        </w:rPr>
        <w:t>COMMINGLING AND INVESTMENT</w:t>
      </w:r>
    </w:p>
    <w:p w14:paraId="49115BD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Trustee is expressly authorized, at its discretion:</w:t>
      </w:r>
    </w:p>
    <w:p w14:paraId="39FD94E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To transfer from time to time any or all of the assets of the Fund to any common, commingled, or collective trust fund created by the Trustee in which the Fund is eligible to participate, subject to all provisions thereof, to be commingled with the assets of other trusts participating therein; and</w:t>
      </w:r>
    </w:p>
    <w:p w14:paraId="50476D6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To purchase shares in any investment company registered under the Investment Company Act of 1940, 15 U.S.C. 80a-1 et seq., including one which may be created, managed, or underwritten, or one to which investment advice is rendered or the shares of which are sold by the Trustee. The Trustee may vote such shares at its discretion.</w:t>
      </w:r>
    </w:p>
    <w:p w14:paraId="5F3C63A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8.</w:t>
      </w:r>
      <w:r w:rsidRPr="00326E64">
        <w:rPr>
          <w:rFonts w:ascii="Times New Roman" w:eastAsia="Calibri" w:hAnsi="Times New Roman" w:cs="Times New Roman"/>
        </w:rPr>
        <w:tab/>
      </w:r>
      <w:r w:rsidRPr="00326E64">
        <w:rPr>
          <w:rFonts w:ascii="Times New Roman" w:eastAsia="Calibri" w:hAnsi="Times New Roman" w:cs="Times New Roman"/>
          <w:strike/>
        </w:rPr>
        <w:t>EXPRESS POWERS OF TRUSTEE</w:t>
      </w:r>
    </w:p>
    <w:p w14:paraId="2AC6EA3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Without in any way limiting the powers and discretion conferred upon the Trustee by the other provisions of this Agreement or by law, the Trustee is expressly authorized and empowered:</w:t>
      </w:r>
    </w:p>
    <w:p w14:paraId="2C13E17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To sell, exchange, convey, transfer, or otherwise dispose of any property held by it, by public or private sale. No person dealing with the Trustee shall be bound to see to the application of the purchase money or to inquire into the validity or expediency of any such sale or other disposition;</w:t>
      </w:r>
    </w:p>
    <w:p w14:paraId="11BDC03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To make, execute, acknowledge, and deliver any and all documents of transfer and conveyance and any and all other instruments that may be necessary or appropriate to carry out the powers herein granted;</w:t>
      </w:r>
    </w:p>
    <w:p w14:paraId="3783CEF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 xml:space="preserve">To register any securities held in the Fund in its own name or in the name of a nominee and to hold any security in bearer form or in book entry, or to combine certificates representing such securities with certificates of the same issue held by the Trustee in other fiduciary capacities, or to deposit or arrange for the deposit of such securities in a qualified central depository even though, when so deposited, such securities may be merged and held in bulk in the name of the nominee of such depository with other securities deposited therein by another person, or to deposit or arrange for the deposit of any securities issued by the United States Government, or any agency or instrumentality thereof, with a Federal Reserve Bank, but </w:t>
      </w:r>
      <w:r w:rsidRPr="00326E64">
        <w:rPr>
          <w:rFonts w:ascii="Times New Roman" w:eastAsia="Calibri" w:hAnsi="Times New Roman" w:cs="Times New Roman"/>
          <w:strike/>
        </w:rPr>
        <w:lastRenderedPageBreak/>
        <w:t>the books and records of the Trustee shall at all times show that all securities are part of the Fund;</w:t>
      </w:r>
    </w:p>
    <w:p w14:paraId="56A8343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To deposit any cash in the Fund in interest-bearing accounts maintained or savings certificates issued by the Trustee, in its separate corporate capacity, or in any other banking institution affiliated with the Trustee, to the extent insured by an agency of the federal or state government; and</w:t>
      </w:r>
    </w:p>
    <w:p w14:paraId="0DE83BA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To compromise or otherwise adjust all claims in favor of, or against, the Fund.</w:t>
      </w:r>
    </w:p>
    <w:p w14:paraId="21458AC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9.</w:t>
      </w:r>
      <w:r w:rsidRPr="00326E64">
        <w:rPr>
          <w:rFonts w:ascii="Times New Roman" w:eastAsia="Calibri" w:hAnsi="Times New Roman" w:cs="Times New Roman"/>
        </w:rPr>
        <w:t xml:space="preserve"> </w:t>
      </w:r>
      <w:r w:rsidRPr="00326E64">
        <w:rPr>
          <w:rFonts w:ascii="Times New Roman" w:eastAsia="Calibri" w:hAnsi="Times New Roman" w:cs="Times New Roman"/>
          <w:strike/>
        </w:rPr>
        <w:t>TAXES AND EXPENSES</w:t>
      </w:r>
    </w:p>
    <w:p w14:paraId="03E9B99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All taxes of any kind that may be assessed or levied against or in respect of the Fund and all brokerage commissions incurred by the Fund shall be paid from the Fund. All other expenses incurred by the Trustee in connection with the administration of this Trust, including fees for legal services rendered to the Trustee, the compensation of the Trustee to the extent not paid directly by the Grantor, and other proper charges and disbursements of the Trustee, shall be paid from the Fund.</w:t>
      </w:r>
    </w:p>
    <w:p w14:paraId="3882237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10.</w:t>
      </w:r>
      <w:r w:rsidRPr="00326E64">
        <w:rPr>
          <w:rFonts w:ascii="Times New Roman" w:eastAsia="Calibri" w:hAnsi="Times New Roman" w:cs="Times New Roman"/>
        </w:rPr>
        <w:tab/>
      </w:r>
      <w:r w:rsidRPr="00326E64">
        <w:rPr>
          <w:rFonts w:ascii="Times New Roman" w:eastAsia="Calibri" w:hAnsi="Times New Roman" w:cs="Times New Roman"/>
          <w:strike/>
        </w:rPr>
        <w:t>ANNUAL VALUATION</w:t>
      </w:r>
    </w:p>
    <w:p w14:paraId="7397298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 xml:space="preserve">The Trustee shall annually, at least 30 days prior to the anniversary date of establishment of the Fund, furnish to the Grantor and to the administrative authority a statement confirming the value of the Trust. Any securities in the Fund shall be valued at market value as of no more than 60 days prior to the anniversary date of establishment of the Fund. The failure of the Grantor to object in writing to the Trustee, within 90 days after the statement has been furnished to the Grantor and the administrative authority, shall constitute a conclusively binding assent by the </w:t>
      </w:r>
      <w:r w:rsidRPr="00326E64">
        <w:rPr>
          <w:rFonts w:ascii="Times New Roman" w:eastAsia="Calibri" w:hAnsi="Times New Roman" w:cs="Times New Roman"/>
          <w:strike/>
        </w:rPr>
        <w:lastRenderedPageBreak/>
        <w:t>Grantor, barring the Grantor from asserting any claim or liability against the Trustee with respect to matters disclosed in the statement.</w:t>
      </w:r>
    </w:p>
    <w:p w14:paraId="0920FAB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11.</w:t>
      </w:r>
      <w:r w:rsidRPr="00326E64">
        <w:rPr>
          <w:rFonts w:ascii="Times New Roman" w:eastAsia="Calibri" w:hAnsi="Times New Roman" w:cs="Times New Roman"/>
        </w:rPr>
        <w:tab/>
      </w:r>
      <w:r w:rsidRPr="00326E64">
        <w:rPr>
          <w:rFonts w:ascii="Times New Roman" w:eastAsia="Calibri" w:hAnsi="Times New Roman" w:cs="Times New Roman"/>
          <w:strike/>
        </w:rPr>
        <w:t>ADVICE OF COUNSEL</w:t>
      </w:r>
    </w:p>
    <w:p w14:paraId="513EC38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Trustee may from time to time consult with counsel, who may be counsel to the Grantor, with respect to any questions arising as to the construction of this Agreement or any action to be taken hereunder. The Trustee shall be fully protected, to the extent permitted by law, in acting upon the advice of counsel.</w:t>
      </w:r>
    </w:p>
    <w:p w14:paraId="6FDEE5D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12.</w:t>
      </w:r>
      <w:r w:rsidRPr="00326E64">
        <w:rPr>
          <w:rFonts w:ascii="Times New Roman" w:eastAsia="Calibri" w:hAnsi="Times New Roman" w:cs="Times New Roman"/>
          <w:strike/>
        </w:rPr>
        <w:tab/>
        <w:t>TRUSTEE COMPENSATION</w:t>
      </w:r>
    </w:p>
    <w:p w14:paraId="5524F30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Trustee shall be entitled to reasonable compensation for its services, as agreed upon in writing from time to time with the Grantor.</w:t>
      </w:r>
    </w:p>
    <w:p w14:paraId="058C1FC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13.</w:t>
      </w:r>
      <w:r w:rsidRPr="00326E64">
        <w:rPr>
          <w:rFonts w:ascii="Times New Roman" w:eastAsia="Calibri" w:hAnsi="Times New Roman" w:cs="Times New Roman"/>
          <w:strike/>
        </w:rPr>
        <w:tab/>
        <w:t>SUCCESSOR TRUSTEE</w:t>
      </w:r>
    </w:p>
    <w:p w14:paraId="6BAAB1C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Trustee may resign or the Grantor may replace the Trustee, but such resignation or replacement shall not be effective until the Grantor has appointed a successor trustee and this successor accepts the appointment. The successor trustee shall have the same powers and duties as those conferred upon the Trustee hereunder. Upon the successor trustee's acceptance of the appointment, the Trustee shall assign, transfer, and pay over to the successor trustee the funds and properties then constituting the Fund. If for any reason the Grantor cannot or does not act in the event of the resignation of the Trustee, the Trustee may apply to a court of competent jurisdiction for the appointment of a successor trustee or for instructions. The successor trustee shall, in writing, specify to the Grantor, the administrative authority, and the present Trustee by certified mail, 10 days before such change becomes effective, the date on which it assumes administration of the trust. Any expenses incurred by the Trustee as a result of any of the acts contemplated by this Section shall be paid as provided in Section 9.</w:t>
      </w:r>
    </w:p>
    <w:p w14:paraId="0E7440B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lastRenderedPageBreak/>
        <w:t>SECTION 14.</w:t>
      </w:r>
      <w:r w:rsidRPr="00326E64">
        <w:rPr>
          <w:rFonts w:ascii="Times New Roman" w:eastAsia="Calibri" w:hAnsi="Times New Roman" w:cs="Times New Roman"/>
        </w:rPr>
        <w:tab/>
      </w:r>
      <w:r w:rsidRPr="00326E64">
        <w:rPr>
          <w:rFonts w:ascii="Times New Roman" w:eastAsia="Calibri" w:hAnsi="Times New Roman" w:cs="Times New Roman"/>
          <w:strike/>
        </w:rPr>
        <w:t>INSTRUCTIONS TO THE TRUSTEE</w:t>
      </w:r>
    </w:p>
    <w:p w14:paraId="1CE3A9B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All orders, requests, and instructions by the Grantor to the Trustee shall be in writing, signed by the persons designated in the attached Exhibit A or such other persons as the Grantor may designate by amendment to Exhibit A. The Trustee shall be fully protected in acting without inquiry in accordance with the Grantor's orders, requests, and instructions. All orders, requests, and instructions by the administrative authority to the Trustee shall be in writing and signed by the administrative authority. The Trustee shall act and shall be fully protected in acting in accordance with such orders, requests, and instructions. The Trustee shall have the right to assume, in the absence of written notice to the contrary, that no event constituting a change or termination of the authority of any person to act on behalf of the Grantor or administrative authority hereunder has occurred. The Trustee shall have no duty to act in the absence of such orders, requests, and instructions from the Grantor and/or administrative authority, except as provided for herein.</w:t>
      </w:r>
    </w:p>
    <w:p w14:paraId="64F18C6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15.</w:t>
      </w:r>
      <w:r w:rsidRPr="00326E64">
        <w:rPr>
          <w:rFonts w:ascii="Times New Roman" w:eastAsia="Calibri" w:hAnsi="Times New Roman" w:cs="Times New Roman"/>
        </w:rPr>
        <w:tab/>
      </w:r>
      <w:r w:rsidRPr="00326E64">
        <w:rPr>
          <w:rFonts w:ascii="Times New Roman" w:eastAsia="Calibri" w:hAnsi="Times New Roman" w:cs="Times New Roman"/>
          <w:strike/>
        </w:rPr>
        <w:t>NOTICE OF NONPAYMENT</w:t>
      </w:r>
    </w:p>
    <w:p w14:paraId="21A4C9A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Trustee shall notify the Grantor and the administrative authority, by certified mail, within 10 days following the expiration of the 30-day period after the anniversary of the establishment of the Trust, if no payment is received from the Grantor during that period. After the pay-in period is completed, the Trustee shall not be required to send a notice of nonpayment.</w:t>
      </w:r>
    </w:p>
    <w:p w14:paraId="49D8CAE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16.</w:t>
      </w:r>
      <w:r w:rsidRPr="00326E64">
        <w:rPr>
          <w:rFonts w:ascii="Times New Roman" w:eastAsia="Calibri" w:hAnsi="Times New Roman" w:cs="Times New Roman"/>
        </w:rPr>
        <w:tab/>
      </w:r>
      <w:r w:rsidRPr="00326E64">
        <w:rPr>
          <w:rFonts w:ascii="Times New Roman" w:eastAsia="Calibri" w:hAnsi="Times New Roman" w:cs="Times New Roman"/>
          <w:strike/>
        </w:rPr>
        <w:t>AMENDMENT OF AGREEMENT</w:t>
      </w:r>
    </w:p>
    <w:p w14:paraId="1CED0BD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This Agreement may be amended by an instrument, in writing, executed by the Grantor, the Trustee, and the administrative authority, or by the Trustee and the administrative authority, if the Grantor ceases to exist.</w:t>
      </w:r>
    </w:p>
    <w:p w14:paraId="4CEAE2C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17.</w:t>
      </w:r>
      <w:r w:rsidRPr="00326E64">
        <w:rPr>
          <w:rFonts w:ascii="Times New Roman" w:eastAsia="Calibri" w:hAnsi="Times New Roman" w:cs="Times New Roman"/>
        </w:rPr>
        <w:tab/>
      </w:r>
      <w:r w:rsidRPr="00326E64">
        <w:rPr>
          <w:rFonts w:ascii="Times New Roman" w:eastAsia="Calibri" w:hAnsi="Times New Roman" w:cs="Times New Roman"/>
          <w:strike/>
        </w:rPr>
        <w:t>IRREVOCABILITY AND TERMINATION</w:t>
      </w:r>
    </w:p>
    <w:p w14:paraId="6A0A0F2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strike/>
        </w:rPr>
        <w:t>Subject to the right of the parties to amend this Agreement, as provided in Section 16, this Trust shall be irrevocable and shall continue until terminated at the written agreement of the Grantor, the Trustee, and the administrative authority, or by the Trustee and the administrative authority, if the Grantor ceases to exist. Upon termination of the Trust, all remaining trust property, less final trust administration expenses, shall be delivered to the Grantor.</w:t>
      </w:r>
    </w:p>
    <w:p w14:paraId="1EF453D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18.</w:t>
      </w:r>
      <w:r w:rsidRPr="00326E64">
        <w:rPr>
          <w:rFonts w:ascii="Times New Roman" w:eastAsia="Calibri" w:hAnsi="Times New Roman" w:cs="Times New Roman"/>
        </w:rPr>
        <w:tab/>
      </w:r>
      <w:r w:rsidRPr="00326E64">
        <w:rPr>
          <w:rFonts w:ascii="Times New Roman" w:eastAsia="Calibri" w:hAnsi="Times New Roman" w:cs="Times New Roman"/>
          <w:strike/>
        </w:rPr>
        <w:t>IMMUNITY AND INDEMNIFICATION</w:t>
      </w:r>
    </w:p>
    <w:p w14:paraId="1E411E9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Trustee shall not incur personal liability of any nature in connection with any act or omission, made in good faith, in the administration of this Trust, or in carrying out any direction by the Grantor or the administrative authority issued in accordance with this Agreement. The Trustee shall be indemnified and saved harmless by the Grantor or from the Trust Fund, or both, from and against any personal liability to which the Trustee may be subjected by reason of any act or conduct in its official capacity, including all reasonable expenses incurred in its defense in the event that the Grantor fails to provide such defense.</w:t>
      </w:r>
    </w:p>
    <w:p w14:paraId="433E9B1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19.</w:t>
      </w:r>
      <w:r w:rsidRPr="00326E64">
        <w:rPr>
          <w:rFonts w:ascii="Times New Roman" w:eastAsia="Calibri" w:hAnsi="Times New Roman" w:cs="Times New Roman"/>
        </w:rPr>
        <w:tab/>
      </w:r>
      <w:r w:rsidRPr="00326E64">
        <w:rPr>
          <w:rFonts w:ascii="Times New Roman" w:eastAsia="Calibri" w:hAnsi="Times New Roman" w:cs="Times New Roman"/>
          <w:strike/>
        </w:rPr>
        <w:t>CHOICE OF LAW</w:t>
      </w:r>
    </w:p>
    <w:p w14:paraId="53D1535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This Agreement shall be administered, construed, and enforced according to the laws of the State of Louisiana.</w:t>
      </w:r>
    </w:p>
    <w:p w14:paraId="207820F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SECTION 20.</w:t>
      </w:r>
      <w:r w:rsidRPr="00326E64">
        <w:rPr>
          <w:rFonts w:ascii="Times New Roman" w:eastAsia="Calibri" w:hAnsi="Times New Roman" w:cs="Times New Roman"/>
        </w:rPr>
        <w:tab/>
      </w:r>
      <w:r w:rsidRPr="00326E64">
        <w:rPr>
          <w:rFonts w:ascii="Times New Roman" w:eastAsia="Calibri" w:hAnsi="Times New Roman" w:cs="Times New Roman"/>
          <w:strike/>
        </w:rPr>
        <w:t>INTERPRETATION</w:t>
      </w:r>
    </w:p>
    <w:p w14:paraId="3B95086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As used in this Agreement, words in the singular include the plural and words in the plural include the singular. The descriptive headings for each Section of this Agreement shall not affect the interpretation or the legal efficacy of this Agreement.</w:t>
      </w:r>
    </w:p>
    <w:p w14:paraId="5F6F65F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 xml:space="preserve">IN WITNESS WHEREOF, the parties have caused this Agreement to be executed by their respective officers duly authorized [and their corporate seals to be hereunto affixed] and attested to as of the date first above written. The parties below certify that the wording of this </w:t>
      </w:r>
      <w:r w:rsidRPr="00326E64">
        <w:rPr>
          <w:rFonts w:ascii="Times New Roman" w:eastAsia="Calibri" w:hAnsi="Times New Roman" w:cs="Times New Roman"/>
          <w:strike/>
        </w:rPr>
        <w:lastRenderedPageBreak/>
        <w:t>Agreement is identical to the wording specified in Louisiana Administrative Code (LAC), Title 33, Part IX.7395.Appendix D, on the date first written above.</w:t>
      </w:r>
    </w:p>
    <w:tbl>
      <w:tblPr>
        <w:tblW w:w="5925" w:type="dxa"/>
        <w:jc w:val="center"/>
        <w:tblLook w:val="01E0" w:firstRow="1" w:lastRow="1" w:firstColumn="1" w:lastColumn="1" w:noHBand="0" w:noVBand="0"/>
      </w:tblPr>
      <w:tblGrid>
        <w:gridCol w:w="631"/>
        <w:gridCol w:w="3332"/>
        <w:gridCol w:w="1893"/>
        <w:gridCol w:w="1285"/>
      </w:tblGrid>
      <w:tr w:rsidR="00326E64" w:rsidRPr="00326E64" w14:paraId="1781CBC9" w14:textId="77777777" w:rsidTr="00A54079">
        <w:trPr>
          <w:gridBefore w:val="1"/>
          <w:wBefore w:w="1121" w:type="dxa"/>
          <w:cantSplit/>
          <w:jc w:val="center"/>
        </w:trPr>
        <w:tc>
          <w:tcPr>
            <w:tcW w:w="2454" w:type="dxa"/>
            <w:vAlign w:val="center"/>
          </w:tcPr>
          <w:p w14:paraId="4FA8018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WITNESSES:</w:t>
            </w:r>
          </w:p>
        </w:tc>
        <w:tc>
          <w:tcPr>
            <w:tcW w:w="2350" w:type="dxa"/>
            <w:gridSpan w:val="2"/>
            <w:vAlign w:val="center"/>
          </w:tcPr>
          <w:p w14:paraId="7B4EC25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GRANTOR:</w:t>
            </w:r>
          </w:p>
        </w:tc>
      </w:tr>
      <w:tr w:rsidR="00326E64" w:rsidRPr="00326E64" w14:paraId="64757E8A" w14:textId="77777777" w:rsidTr="00A54079">
        <w:trPr>
          <w:gridBefore w:val="1"/>
          <w:wBefore w:w="1121" w:type="dxa"/>
          <w:cantSplit/>
          <w:jc w:val="center"/>
        </w:trPr>
        <w:tc>
          <w:tcPr>
            <w:tcW w:w="2454" w:type="dxa"/>
            <w:vAlign w:val="center"/>
          </w:tcPr>
          <w:p w14:paraId="6973AB9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_______________________</w:t>
            </w:r>
          </w:p>
        </w:tc>
        <w:tc>
          <w:tcPr>
            <w:tcW w:w="2350" w:type="dxa"/>
            <w:gridSpan w:val="2"/>
            <w:vAlign w:val="center"/>
          </w:tcPr>
          <w:p w14:paraId="1589D9C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_______________________</w:t>
            </w:r>
          </w:p>
        </w:tc>
      </w:tr>
      <w:tr w:rsidR="00326E64" w:rsidRPr="00326E64" w14:paraId="6A87DF05" w14:textId="77777777" w:rsidTr="00A54079">
        <w:trPr>
          <w:gridBefore w:val="1"/>
          <w:wBefore w:w="1121" w:type="dxa"/>
          <w:cantSplit/>
          <w:jc w:val="center"/>
        </w:trPr>
        <w:tc>
          <w:tcPr>
            <w:tcW w:w="2454" w:type="dxa"/>
            <w:vAlign w:val="center"/>
          </w:tcPr>
          <w:p w14:paraId="0A8451A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_______________________</w:t>
            </w:r>
          </w:p>
        </w:tc>
        <w:tc>
          <w:tcPr>
            <w:tcW w:w="2350" w:type="dxa"/>
            <w:gridSpan w:val="2"/>
            <w:vAlign w:val="center"/>
          </w:tcPr>
          <w:p w14:paraId="113CF4C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By: ____________________</w:t>
            </w:r>
          </w:p>
        </w:tc>
      </w:tr>
      <w:tr w:rsidR="00326E64" w:rsidRPr="00326E64" w14:paraId="56EBCEF0" w14:textId="77777777" w:rsidTr="00A54079">
        <w:trPr>
          <w:gridBefore w:val="1"/>
          <w:wBefore w:w="1121" w:type="dxa"/>
          <w:cantSplit/>
          <w:jc w:val="center"/>
        </w:trPr>
        <w:tc>
          <w:tcPr>
            <w:tcW w:w="2454" w:type="dxa"/>
            <w:vAlign w:val="center"/>
          </w:tcPr>
          <w:p w14:paraId="7983A36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 </w:t>
            </w:r>
          </w:p>
        </w:tc>
        <w:tc>
          <w:tcPr>
            <w:tcW w:w="2350" w:type="dxa"/>
            <w:gridSpan w:val="2"/>
            <w:vAlign w:val="center"/>
          </w:tcPr>
          <w:p w14:paraId="4A205F1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Its: ____________________</w:t>
            </w:r>
          </w:p>
        </w:tc>
      </w:tr>
      <w:tr w:rsidR="00326E64" w:rsidRPr="00326E64" w14:paraId="1962E21E" w14:textId="77777777" w:rsidTr="00A54079">
        <w:trPr>
          <w:gridBefore w:val="1"/>
          <w:wBefore w:w="1121" w:type="dxa"/>
          <w:cantSplit/>
          <w:jc w:val="center"/>
        </w:trPr>
        <w:tc>
          <w:tcPr>
            <w:tcW w:w="2454" w:type="dxa"/>
            <w:vAlign w:val="center"/>
          </w:tcPr>
          <w:p w14:paraId="2F6EBD2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 </w:t>
            </w:r>
          </w:p>
        </w:tc>
        <w:tc>
          <w:tcPr>
            <w:tcW w:w="2350" w:type="dxa"/>
            <w:gridSpan w:val="2"/>
            <w:vAlign w:val="center"/>
          </w:tcPr>
          <w:p w14:paraId="465A831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[Seal]</w:t>
            </w:r>
          </w:p>
        </w:tc>
      </w:tr>
      <w:tr w:rsidR="00326E64" w:rsidRPr="00326E64" w14:paraId="0E96AA45" w14:textId="77777777" w:rsidTr="00A54079">
        <w:trPr>
          <w:gridAfter w:val="1"/>
          <w:wAfter w:w="1125" w:type="dxa"/>
          <w:cantSplit/>
          <w:jc w:val="center"/>
        </w:trPr>
        <w:tc>
          <w:tcPr>
            <w:tcW w:w="4800" w:type="dxa"/>
            <w:gridSpan w:val="3"/>
          </w:tcPr>
          <w:p w14:paraId="0189628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TRUSTEE:</w:t>
            </w:r>
          </w:p>
        </w:tc>
      </w:tr>
      <w:tr w:rsidR="00326E64" w:rsidRPr="00326E64" w14:paraId="64E380FE" w14:textId="77777777" w:rsidTr="00A54079">
        <w:trPr>
          <w:gridAfter w:val="1"/>
          <w:wAfter w:w="1125" w:type="dxa"/>
          <w:cantSplit/>
          <w:jc w:val="center"/>
        </w:trPr>
        <w:tc>
          <w:tcPr>
            <w:tcW w:w="4800" w:type="dxa"/>
            <w:gridSpan w:val="3"/>
          </w:tcPr>
          <w:p w14:paraId="450ED3E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_______________________________________________</w:t>
            </w:r>
          </w:p>
        </w:tc>
      </w:tr>
      <w:tr w:rsidR="00326E64" w:rsidRPr="00326E64" w14:paraId="3C429478" w14:textId="77777777" w:rsidTr="00A54079">
        <w:trPr>
          <w:gridAfter w:val="1"/>
          <w:wAfter w:w="1125" w:type="dxa"/>
          <w:cantSplit/>
          <w:jc w:val="center"/>
        </w:trPr>
        <w:tc>
          <w:tcPr>
            <w:tcW w:w="4800" w:type="dxa"/>
            <w:gridSpan w:val="3"/>
          </w:tcPr>
          <w:p w14:paraId="06D88A6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By: ___________________________________________</w:t>
            </w:r>
          </w:p>
        </w:tc>
      </w:tr>
      <w:tr w:rsidR="00326E64" w:rsidRPr="00326E64" w14:paraId="6AAFFD8E" w14:textId="77777777" w:rsidTr="00A54079">
        <w:trPr>
          <w:gridAfter w:val="1"/>
          <w:wAfter w:w="1125" w:type="dxa"/>
          <w:cantSplit/>
          <w:jc w:val="center"/>
        </w:trPr>
        <w:tc>
          <w:tcPr>
            <w:tcW w:w="4800" w:type="dxa"/>
            <w:gridSpan w:val="3"/>
          </w:tcPr>
          <w:p w14:paraId="61468D8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Its: ___________________________________________</w:t>
            </w:r>
          </w:p>
        </w:tc>
      </w:tr>
      <w:tr w:rsidR="00326E64" w:rsidRPr="00326E64" w14:paraId="02842288" w14:textId="77777777" w:rsidTr="00A54079">
        <w:trPr>
          <w:gridAfter w:val="1"/>
          <w:wAfter w:w="1125" w:type="dxa"/>
          <w:cantSplit/>
          <w:jc w:val="center"/>
        </w:trPr>
        <w:tc>
          <w:tcPr>
            <w:tcW w:w="4800" w:type="dxa"/>
            <w:gridSpan w:val="3"/>
          </w:tcPr>
          <w:p w14:paraId="7C9F336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[Seal] </w:t>
            </w:r>
          </w:p>
        </w:tc>
      </w:tr>
    </w:tbl>
    <w:p w14:paraId="222D77B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THUS DONE AND PASSED in my office in ________________, on the ________________ day of _____________, 20________, in the presence of _______________________ and _________________, competent witnesses, who hereunto sign their names with the said appearers and me, Notary, after reading the whole.</w:t>
      </w:r>
    </w:p>
    <w:p w14:paraId="4556D68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______________________</w:t>
      </w:r>
    </w:p>
    <w:p w14:paraId="2F705C6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 xml:space="preserve"> Notary Public</w:t>
      </w:r>
    </w:p>
    <w:p w14:paraId="0496663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(The following is an example of the certification of</w:t>
      </w:r>
      <w:r w:rsidRPr="00326E64">
        <w:rPr>
          <w:rFonts w:ascii="Times New Roman" w:eastAsia="Calibri" w:hAnsi="Times New Roman" w:cs="Times New Roman"/>
          <w:strike/>
        </w:rPr>
        <w:br/>
        <w:t>acknowledgement that must accompany the trust agreement.)</w:t>
      </w:r>
    </w:p>
    <w:p w14:paraId="18DD052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STATE OF LOUISIANA</w:t>
      </w:r>
    </w:p>
    <w:p w14:paraId="721C997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PARISH OF _________________</w:t>
      </w:r>
    </w:p>
    <w:p w14:paraId="4E3754D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strike/>
        </w:rPr>
        <w:t>BE IT KNOWN, that on this _____________ day of _______________, 20______, before me, the undersigned Notary Public, duly commissioned and qualified within the State and Parish aforesaid, and in the presence of the witnesses hereinafter named and undersigned, personally came and appeared, to me well known, who declared and acknowledged that he had signed and executed the foregoing instrument as his act and deed, and as the act and deed of the ____________________, a corporation, for the consideration, uses, and purposes and on terms and conditions therein set forth.</w:t>
      </w:r>
    </w:p>
    <w:p w14:paraId="3BBDF54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And the said appearer, being by me first duly sworn, did depose and say that he is the _______________ of said corporation and that he signed and executed said instrument in his said capacity, and under authority of the Board of Directors of said corporation.</w:t>
      </w:r>
    </w:p>
    <w:p w14:paraId="01784BD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Thus done and passed in the State and Parish aforesaid, on the day and date first hereinabove written, and in the presence of _________________ and __________________, competent witnesses, who have hereunto subscribed their name as such, together with said appearer and me, said authority, after due reading of the whole.</w:t>
      </w:r>
    </w:p>
    <w:p w14:paraId="7F031C4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WITNESSES:</w:t>
      </w:r>
    </w:p>
    <w:p w14:paraId="3561869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______________________</w:t>
      </w:r>
    </w:p>
    <w:p w14:paraId="79756BA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______________________</w:t>
      </w:r>
    </w:p>
    <w:p w14:paraId="28B0D2B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______________________</w:t>
      </w:r>
    </w:p>
    <w:p w14:paraId="2290B4E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NOTARY PUBLIC</w:t>
      </w:r>
    </w:p>
    <w:p w14:paraId="24782C5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rPr>
        <w:tab/>
      </w:r>
      <w:r w:rsidRPr="00326E64">
        <w:rPr>
          <w:rFonts w:ascii="Times New Roman" w:eastAsia="Calibri" w:hAnsi="Times New Roman" w:cs="Times New Roman"/>
          <w:strike/>
        </w:rPr>
        <w:t>Appendix E―Surety Bond</w:t>
      </w:r>
    </w:p>
    <w:p w14:paraId="314A41E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[Insert, as applicable:</w:t>
      </w:r>
      <w:r w:rsidRPr="00326E64">
        <w:rPr>
          <w:rFonts w:ascii="Times New Roman" w:eastAsia="Calibri" w:hAnsi="Times New Roman" w:cs="Times New Roman"/>
          <w:strike/>
        </w:rPr>
        <w:br/>
      </w:r>
      <w:r w:rsidRPr="00326E64">
        <w:rPr>
          <w:rFonts w:ascii="Times New Roman" w:eastAsia="Calibri" w:hAnsi="Times New Roman" w:cs="Times New Roman"/>
        </w:rPr>
        <w:t xml:space="preserve"> </w:t>
      </w:r>
      <w:r w:rsidRPr="00326E64">
        <w:rPr>
          <w:rFonts w:ascii="Times New Roman" w:eastAsia="Calibri" w:hAnsi="Times New Roman" w:cs="Times New Roman"/>
          <w:strike/>
        </w:rPr>
        <w:t>"COMMERCIAL PREPARER OF SEWAGE SLUDGE" or "COMMERCIAL LAND APPLIER OF BIOSOLIDS"]</w:t>
      </w:r>
    </w:p>
    <w:p w14:paraId="08CF002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lastRenderedPageBreak/>
        <w:t>FINANCIAL GUARANTEE BOND</w:t>
      </w:r>
    </w:p>
    <w:p w14:paraId="0845ABB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Date bond was executed:________________________</w:t>
      </w:r>
    </w:p>
    <w:p w14:paraId="73D9534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Effective date:________________________________</w:t>
      </w:r>
    </w:p>
    <w:p w14:paraId="735C0BA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Principal: [legal name and business address of affected person]</w:t>
      </w:r>
    </w:p>
    <w:p w14:paraId="2D36F4A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Type of organization: [insert "individual," "joint venture," "partnership," or "corporation"]</w:t>
      </w:r>
    </w:p>
    <w:p w14:paraId="3055A54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State of incorporation:__________________________</w:t>
      </w:r>
    </w:p>
    <w:p w14:paraId="60B28E7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Surety: [name and business address]</w:t>
      </w:r>
    </w:p>
    <w:p w14:paraId="3D10B78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[agency interest number, site name, facility name, facility permit number, and current closure amount(s) for each facility guaranteed by this bond]</w:t>
      </w:r>
    </w:p>
    <w:p w14:paraId="455ECF9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Total penal sum of bond: $______________________</w:t>
      </w:r>
    </w:p>
    <w:p w14:paraId="614F1AF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Surety's bond number: _________________________</w:t>
      </w:r>
    </w:p>
    <w:p w14:paraId="32C95AC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Know All Persons By These Presents, That we, the Principal and Surety hereto, are firmly bound to the Louisiana Department of Environmental Quality in the above penal sum for the payment of which we bind ourselves, our heirs, executors, administrators, successors, and assigns jointly and severally; provided that, where Sureties are corporations acting as cosureties, we the sureties bind ourselves in such sum "jointly and severally" only for the purpose of allowing a joint action or actions against any or all of us, and for all other purposes each Surety binds itself, jointly and severally with the Principal, for the payment of such sum only as is set forth opposite the name of such Surety, but if no limit or liability is indicated, the limit of liability shall be the full amount of the penal sum.</w:t>
      </w:r>
    </w:p>
    <w:p w14:paraId="71AC6C3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strike/>
        </w:rPr>
        <w:t>WHEREAS, said Principal is required, under the Louisiana Environmental Quality Act, R.S. 30:2001 et seq., and specifically Section 2074(B)(4), to have a permit in order to own or operate the [insert type of permitted operation] identified above; and</w:t>
      </w:r>
    </w:p>
    <w:p w14:paraId="7EC077B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WHEREAS, the Principal is required by law to provide financial assurance for closure, as a condition of the permit; and</w:t>
      </w:r>
    </w:p>
    <w:p w14:paraId="38BD532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WHEREAS, said Principal shall establish a standby trust fund as is required by the Louisiana Administrative Code (LAC), Title 33, Part IX.7307.E.2.d.ii, when a surety bond is used to provide such financial assurance;</w:t>
      </w:r>
    </w:p>
    <w:p w14:paraId="522C483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NOW THEREFORE, the conditions of the obligation are such that if the Principal shall faithfully, before the beginning of final closure of the facility identified above, fund the standby trust fund in the amount(s) identified above for the facility,</w:t>
      </w:r>
    </w:p>
    <w:p w14:paraId="07DAB37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OR, if the Principal shall fund the standby trust fund in such amount(s) within 15 days after an order to close is issued by the administrative authority or a court of competent jurisdiction,</w:t>
      </w:r>
    </w:p>
    <w:p w14:paraId="6C243F3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OR, if the Principal shall provide alternate financial assurance as specified in LAC 33:IX.7307.D or E and obtain written approval from the administrative authority of such assurance, within 90 days after the date of notice of cancellation is received by both the Principal and the administrative authority from the Surety,</w:t>
      </w:r>
    </w:p>
    <w:p w14:paraId="4598F58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THEN, this obligation shall be null and void; otherwise it is to remain in full force and effect.</w:t>
      </w:r>
    </w:p>
    <w:p w14:paraId="1810BEE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 xml:space="preserve">The Surety shall become liable on this bond obligation only when the Principal has failed to fulfill the conditions described above. Upon notification by the administrative authority that the Principal has failed to perform as guaranteed by this bond, the Surety shall place funds in the </w:t>
      </w:r>
      <w:r w:rsidRPr="00326E64">
        <w:rPr>
          <w:rFonts w:ascii="Times New Roman" w:eastAsia="Calibri" w:hAnsi="Times New Roman" w:cs="Times New Roman"/>
          <w:strike/>
        </w:rPr>
        <w:lastRenderedPageBreak/>
        <w:t>amount guaranteed for the facility into the standby trust fund as directed by the administrative authority.</w:t>
      </w:r>
    </w:p>
    <w:p w14:paraId="55792D0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Surety hereby waives notification or amendments to closure plans, permits, applicable laws, statutes, rules, and regulations, and agrees that no such amendment shall in any way alleviate its obligation on this bond.</w:t>
      </w:r>
    </w:p>
    <w:p w14:paraId="24C0BEA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liability of the Surety shall not be discharged by any payment or succession of payments hereunder, unless and until such payment or payments shall amount in the aggregate to the penal sum of the bond, but in no event shall the obligation of the Surety hereunder exceed the amount of the penal sum.</w:t>
      </w:r>
    </w:p>
    <w:p w14:paraId="115F027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Surety may cancel the bond by sending notice of cancellation by certified mail to the Principal and to the administrative authority. Cancellation shall not occur before 120 days have elapsed beginning on the date that both the Principal and the administrative authority received the notice of cancellation, as evidenced by the return receipts.</w:t>
      </w:r>
    </w:p>
    <w:p w14:paraId="04EE0AA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Principal may terminate this bond by sending written notice to the Surety and to the administrative authority, provided, however, that no such notice shall become effective until the Surety has received written authorization for termination of the bond by the administrative authority.</w:t>
      </w:r>
    </w:p>
    <w:p w14:paraId="3B1BCC2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Principal and Surety hereby agree to adjust the penal sum of the bond yearly in accordance with LAC 33:IX.7307.E.2.d.vi and the conditions of the permit so that it guarantees a new closure amount, provided that the penal sum does not increase or decrease without the written permission of the administrative authority.</w:t>
      </w:r>
    </w:p>
    <w:p w14:paraId="347427C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Principal and Surety hereby agree that no portion of the penal sum may be expended without prior written approval of the administrative authority.</w:t>
      </w:r>
    </w:p>
    <w:p w14:paraId="6726997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strike/>
        </w:rPr>
        <w:t>IN WITNESS WHEREOF, the Principal and the Surety have executed this FINANCIAL GUARANTEE BOND and have affixed their seals on the date set forth above.</w:t>
      </w:r>
    </w:p>
    <w:p w14:paraId="4EDA4F7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Those persons whose signatures appear below hereby certify that they are authorized to execute this FINANCIAL GUARANTEE BOND on behalf of the Principal and Surety, that each Surety hereto is authorized to do business in the State of Louisiana, and that the wording of this surety bond is identical to the wording specified in LAC 33:IX.7395.Appendix E, effective on the date this bond was executed.</w:t>
      </w:r>
    </w:p>
    <w:tbl>
      <w:tblPr>
        <w:tblW w:w="0" w:type="auto"/>
        <w:jc w:val="center"/>
        <w:tblLook w:val="01E0" w:firstRow="1" w:lastRow="1" w:firstColumn="1" w:lastColumn="1" w:noHBand="0" w:noVBand="0"/>
      </w:tblPr>
      <w:tblGrid>
        <w:gridCol w:w="4356"/>
      </w:tblGrid>
      <w:tr w:rsidR="00326E64" w:rsidRPr="00326E64" w14:paraId="00B22864" w14:textId="77777777" w:rsidTr="00A54079">
        <w:trPr>
          <w:cantSplit/>
          <w:jc w:val="center"/>
        </w:trPr>
        <w:tc>
          <w:tcPr>
            <w:tcW w:w="4356" w:type="dxa"/>
          </w:tcPr>
          <w:p w14:paraId="2827248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PRINCIPAL</w:t>
            </w:r>
          </w:p>
        </w:tc>
      </w:tr>
      <w:tr w:rsidR="00326E64" w:rsidRPr="00326E64" w14:paraId="7CA8FF7A" w14:textId="77777777" w:rsidTr="00A54079">
        <w:trPr>
          <w:cantSplit/>
          <w:jc w:val="center"/>
        </w:trPr>
        <w:tc>
          <w:tcPr>
            <w:tcW w:w="4356" w:type="dxa"/>
          </w:tcPr>
          <w:p w14:paraId="4DC43EC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[Signature(s)]</w:t>
            </w:r>
          </w:p>
        </w:tc>
      </w:tr>
      <w:tr w:rsidR="00326E64" w:rsidRPr="00326E64" w14:paraId="01D631C6" w14:textId="77777777" w:rsidTr="00A54079">
        <w:trPr>
          <w:cantSplit/>
          <w:jc w:val="center"/>
        </w:trPr>
        <w:tc>
          <w:tcPr>
            <w:tcW w:w="4356" w:type="dxa"/>
          </w:tcPr>
          <w:p w14:paraId="7A5DF6E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[Name(s)]</w:t>
            </w:r>
          </w:p>
        </w:tc>
      </w:tr>
      <w:tr w:rsidR="00326E64" w:rsidRPr="00326E64" w14:paraId="650E6DCD" w14:textId="77777777" w:rsidTr="00A54079">
        <w:trPr>
          <w:cantSplit/>
          <w:jc w:val="center"/>
        </w:trPr>
        <w:tc>
          <w:tcPr>
            <w:tcW w:w="4356" w:type="dxa"/>
          </w:tcPr>
          <w:p w14:paraId="1140266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[Title(s)]</w:t>
            </w:r>
          </w:p>
        </w:tc>
      </w:tr>
      <w:tr w:rsidR="00326E64" w:rsidRPr="00326E64" w14:paraId="4470C1B5" w14:textId="77777777" w:rsidTr="00A54079">
        <w:trPr>
          <w:cantSplit/>
          <w:jc w:val="center"/>
        </w:trPr>
        <w:tc>
          <w:tcPr>
            <w:tcW w:w="4356" w:type="dxa"/>
          </w:tcPr>
          <w:p w14:paraId="7597324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[Corporate Seal]</w:t>
            </w:r>
          </w:p>
        </w:tc>
      </w:tr>
    </w:tbl>
    <w:p w14:paraId="34C41698" w14:textId="77777777" w:rsidR="00326E64" w:rsidRPr="00326E64" w:rsidRDefault="00326E64" w:rsidP="00326E64">
      <w:pPr>
        <w:spacing w:line="480" w:lineRule="auto"/>
        <w:rPr>
          <w:rFonts w:ascii="Times New Roman" w:eastAsia="Calibri" w:hAnsi="Times New Roman" w:cs="Times New Roman"/>
          <w:strike/>
        </w:rPr>
      </w:pPr>
    </w:p>
    <w:tbl>
      <w:tblPr>
        <w:tblW w:w="0" w:type="auto"/>
        <w:jc w:val="center"/>
        <w:tblLook w:val="01E0" w:firstRow="1" w:lastRow="1" w:firstColumn="1" w:lastColumn="1" w:noHBand="0" w:noVBand="0"/>
      </w:tblPr>
      <w:tblGrid>
        <w:gridCol w:w="4320"/>
      </w:tblGrid>
      <w:tr w:rsidR="00326E64" w:rsidRPr="00326E64" w14:paraId="5BE08237" w14:textId="77777777" w:rsidTr="00A54079">
        <w:trPr>
          <w:cantSplit/>
          <w:jc w:val="center"/>
        </w:trPr>
        <w:tc>
          <w:tcPr>
            <w:tcW w:w="4320" w:type="dxa"/>
          </w:tcPr>
          <w:p w14:paraId="61A396E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CORPORATE SURETIES</w:t>
            </w:r>
          </w:p>
        </w:tc>
      </w:tr>
      <w:tr w:rsidR="00326E64" w:rsidRPr="00326E64" w14:paraId="7881E8CA" w14:textId="77777777" w:rsidTr="00A54079">
        <w:trPr>
          <w:cantSplit/>
          <w:jc w:val="center"/>
        </w:trPr>
        <w:tc>
          <w:tcPr>
            <w:tcW w:w="4320" w:type="dxa"/>
          </w:tcPr>
          <w:p w14:paraId="4EF06C9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[Name and Address]</w:t>
            </w:r>
          </w:p>
        </w:tc>
      </w:tr>
      <w:tr w:rsidR="00326E64" w:rsidRPr="00326E64" w14:paraId="024CBD3E" w14:textId="77777777" w:rsidTr="00A54079">
        <w:trPr>
          <w:cantSplit/>
          <w:jc w:val="center"/>
        </w:trPr>
        <w:tc>
          <w:tcPr>
            <w:tcW w:w="4320" w:type="dxa"/>
          </w:tcPr>
          <w:p w14:paraId="2ACC7FB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State of incorporation: _______________</w:t>
            </w:r>
          </w:p>
        </w:tc>
      </w:tr>
      <w:tr w:rsidR="00326E64" w:rsidRPr="00326E64" w14:paraId="2FD20DCE" w14:textId="77777777" w:rsidTr="00A54079">
        <w:trPr>
          <w:cantSplit/>
          <w:jc w:val="center"/>
        </w:trPr>
        <w:tc>
          <w:tcPr>
            <w:tcW w:w="4320" w:type="dxa"/>
          </w:tcPr>
          <w:p w14:paraId="5504AF9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Liability limit: $____________</w:t>
            </w:r>
          </w:p>
        </w:tc>
      </w:tr>
      <w:tr w:rsidR="00326E64" w:rsidRPr="00326E64" w14:paraId="4576FE37" w14:textId="77777777" w:rsidTr="00A54079">
        <w:trPr>
          <w:cantSplit/>
          <w:jc w:val="center"/>
        </w:trPr>
        <w:tc>
          <w:tcPr>
            <w:tcW w:w="4320" w:type="dxa"/>
          </w:tcPr>
          <w:p w14:paraId="2868544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[Signature(s)]</w:t>
            </w:r>
          </w:p>
        </w:tc>
      </w:tr>
      <w:tr w:rsidR="00326E64" w:rsidRPr="00326E64" w14:paraId="79C2CC7E" w14:textId="77777777" w:rsidTr="00A54079">
        <w:trPr>
          <w:cantSplit/>
          <w:jc w:val="center"/>
        </w:trPr>
        <w:tc>
          <w:tcPr>
            <w:tcW w:w="4320" w:type="dxa"/>
          </w:tcPr>
          <w:p w14:paraId="0103619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[Name(s) and title(s)]</w:t>
            </w:r>
          </w:p>
        </w:tc>
      </w:tr>
      <w:tr w:rsidR="00326E64" w:rsidRPr="00326E64" w14:paraId="4D87D674" w14:textId="77777777" w:rsidTr="00A54079">
        <w:trPr>
          <w:cantSplit/>
          <w:jc w:val="center"/>
        </w:trPr>
        <w:tc>
          <w:tcPr>
            <w:tcW w:w="4320" w:type="dxa"/>
          </w:tcPr>
          <w:p w14:paraId="412BEF4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[Corporate seal]</w:t>
            </w:r>
          </w:p>
        </w:tc>
      </w:tr>
      <w:tr w:rsidR="00326E64" w:rsidRPr="00326E64" w14:paraId="45B736CB" w14:textId="77777777" w:rsidTr="00A54079">
        <w:trPr>
          <w:cantSplit/>
          <w:jc w:val="center"/>
        </w:trPr>
        <w:tc>
          <w:tcPr>
            <w:tcW w:w="4320" w:type="dxa"/>
          </w:tcPr>
          <w:p w14:paraId="6F3B018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[This information must be provided for each cosurety]</w:t>
            </w:r>
          </w:p>
        </w:tc>
      </w:tr>
      <w:tr w:rsidR="00326E64" w:rsidRPr="00326E64" w14:paraId="309FB9DB" w14:textId="77777777" w:rsidTr="00A54079">
        <w:trPr>
          <w:cantSplit/>
          <w:jc w:val="center"/>
        </w:trPr>
        <w:tc>
          <w:tcPr>
            <w:tcW w:w="4320" w:type="dxa"/>
          </w:tcPr>
          <w:p w14:paraId="20BDE8F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Bond Premium: $___________</w:t>
            </w:r>
          </w:p>
        </w:tc>
      </w:tr>
    </w:tbl>
    <w:p w14:paraId="7AA9C3C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strike/>
        </w:rPr>
        <w:t>F.</w:t>
      </w:r>
      <w:r w:rsidRPr="00326E64">
        <w:rPr>
          <w:rFonts w:ascii="Times New Roman" w:eastAsia="Calibri" w:hAnsi="Times New Roman" w:cs="Times New Roman"/>
          <w:strike/>
        </w:rPr>
        <w:tab/>
        <w:t>Appendix F―Performance Bond</w:t>
      </w:r>
    </w:p>
    <w:p w14:paraId="5DC86C2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[Insert, as applicable:</w:t>
      </w:r>
      <w:r w:rsidRPr="00326E64">
        <w:rPr>
          <w:rFonts w:ascii="Times New Roman" w:eastAsia="Calibri" w:hAnsi="Times New Roman" w:cs="Times New Roman"/>
          <w:strike/>
        </w:rPr>
        <w:br/>
      </w:r>
      <w:r w:rsidRPr="00326E64">
        <w:rPr>
          <w:rFonts w:ascii="Times New Roman" w:eastAsia="Calibri" w:hAnsi="Times New Roman" w:cs="Times New Roman"/>
        </w:rPr>
        <w:t xml:space="preserve"> </w:t>
      </w:r>
      <w:r w:rsidRPr="00326E64">
        <w:rPr>
          <w:rFonts w:ascii="Times New Roman" w:eastAsia="Calibri" w:hAnsi="Times New Roman" w:cs="Times New Roman"/>
          <w:strike/>
        </w:rPr>
        <w:t>"COMMERCIAL PREPARER OF SEWAGE SLUDGE" or "COMMERCIAL LAND APPLIER OF BIOSOLIDS"]</w:t>
      </w:r>
    </w:p>
    <w:p w14:paraId="6CE908B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PERFORMANCE BOND</w:t>
      </w:r>
    </w:p>
    <w:p w14:paraId="4300A02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Date bond was executed:_______________________</w:t>
      </w:r>
    </w:p>
    <w:p w14:paraId="0A0C2D2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Effective date:________________________________</w:t>
      </w:r>
    </w:p>
    <w:p w14:paraId="102D84E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Principal: [legal name and business address of affected person]</w:t>
      </w:r>
    </w:p>
    <w:p w14:paraId="3D50EAF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Type of organization: [insert "individual," "joint venture," "partnership," or "corporation"]</w:t>
      </w:r>
    </w:p>
    <w:p w14:paraId="6453A78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State of incorporation:_______________________</w:t>
      </w:r>
    </w:p>
    <w:p w14:paraId="784FBC8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Surety: [name(s) and business address(es)]</w:t>
      </w:r>
    </w:p>
    <w:p w14:paraId="2600DEB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[agency interest number, site name, facility name, facility permit number, facility address, and closure amount(s) for each facility guaranteed by this bond]</w:t>
      </w:r>
    </w:p>
    <w:p w14:paraId="0A6BD6C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Total penal sum of bond: $_______________</w:t>
      </w:r>
    </w:p>
    <w:p w14:paraId="661BB67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Surety's bond number: __________________</w:t>
      </w:r>
    </w:p>
    <w:p w14:paraId="5034883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 xml:space="preserve">Know All Persons by These Presents, That we, the Principal and Surety hereto, are firmly bound to the Louisiana Department of Environmental Quality in the above penal sum for the payment of which we bind ourselves, our heirs, executors, administrators, successors, and assigns, jointly and severally; provided that, where Sureties are corporations acting as cosureties, we, the Sureties, bind ourselves in such sum "jointly and severally" only for the purpose of allowing a joint action or actions against any or all of us, and for all other purposes each Surety binds itself, jointly and severally with the Principal, for the payment of such sum only as is set </w:t>
      </w:r>
      <w:r w:rsidRPr="00326E64">
        <w:rPr>
          <w:rFonts w:ascii="Times New Roman" w:eastAsia="Calibri" w:hAnsi="Times New Roman" w:cs="Times New Roman"/>
          <w:strike/>
        </w:rPr>
        <w:lastRenderedPageBreak/>
        <w:t>forth opposite the name of such Surety, but if no limit of liability is indicated, the limit of liability shall be the full amount of the penal sum.</w:t>
      </w:r>
    </w:p>
    <w:p w14:paraId="0A5B7A2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WHEREAS, said Principal is required, under the Louisiana Environmental Quality Act, R.S. 30:2001 et seq., and specifically Section 2074(B)(4), to have a permit in order to own or operate the [insert type of permitted operation] identified above; and</w:t>
      </w:r>
    </w:p>
    <w:p w14:paraId="726A1CE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WHEREAS, the Principal is required by law to provide financial assurance for closure, as a condition of the permit; and</w:t>
      </w:r>
    </w:p>
    <w:p w14:paraId="6BE2E77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WHEREAS, said Principal shall establish a standby trust fund as is required when a surety bond is used to provide such financial assurance;</w:t>
      </w:r>
    </w:p>
    <w:p w14:paraId="7AD6804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THEREFORE, the conditions of this obligation are such that if the Principal shall faithfully perform closure, whenever required to do so, of the facility for which this bond guarantees closure, in accordance with the closure plan and other requirements of the permit as such plan and permit may be amended, pursuant to all applicable laws, statutes, rules, and regulations, as such laws, statutes, rules, and regulations may be amended;</w:t>
      </w:r>
    </w:p>
    <w:p w14:paraId="1204A2C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OR, if the Principal shall provide financial assurance as specified in Louisiana Administrative Code (LAC), Title 33, Part IX.7307.E and obtain written approval of the administrative authority of such assurance, within 90 days after the date of notice of cancellation is received by both the Principal and the administrative authority, then this obligation shall be null and void; otherwise it is to remain in full force and effect.</w:t>
      </w:r>
    </w:p>
    <w:p w14:paraId="56E5649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surety shall become liable on this bond obligation only when the Principal has failed to fulfill the conditions described hereinabove.</w:t>
      </w:r>
    </w:p>
    <w:p w14:paraId="394FD1F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Upon notification by the administrative authority that the Principal has been found in violation of the closure requirements of the LAC 33:IX.7305.C.3, or of its permit for the facility for which </w:t>
      </w:r>
      <w:r w:rsidRPr="00326E64">
        <w:rPr>
          <w:rFonts w:ascii="Times New Roman" w:eastAsia="Calibri" w:hAnsi="Times New Roman" w:cs="Times New Roman"/>
          <w:strike/>
        </w:rPr>
        <w:lastRenderedPageBreak/>
        <w:t>this bond guarantees performance of closure, the Surety shall either perform closure in accordance with the closure plan and other permit requirements, or place the closure amount guaranteed for the facility into the standby trust fund as directed by the administrative authority.</w:t>
      </w:r>
    </w:p>
    <w:p w14:paraId="4636A88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Upon notification by the administrative authority that the Principal has failed to provide alternate financial assurance, as specified in LAC 33:IX.7307.E.2.e.iii.(b), and obtain written approval of such assurance from the administrative authority during the 90 days following receipt by both the Principal and the administrative authority of a notice of cancellation of the bond, the Surety shall place funds in the amount guaranteed for the facility into the standby trust fund as directed by the administrative authority.</w:t>
      </w:r>
    </w:p>
    <w:p w14:paraId="39ED0F6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Surety hereby waives notification of amendments to closure plans, permit, applicable laws, statutes, rules, and regulations, and agrees that no such amendment shall in any way alleviate its obligation on this bond.</w:t>
      </w:r>
    </w:p>
    <w:p w14:paraId="5675992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liability of the Surety(ies) shall not be discharged by any payment or succession of payments hereunder, unless and until such payment or payments shall amount in the aggregate to the penal sum of the bond, but in no event shall the obligation of the Surety hereunder exceed the amount of the penal sum.</w:t>
      </w:r>
    </w:p>
    <w:p w14:paraId="7881046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Surety may cancel the bond by sending notice of cancellation by certified mail to the Principal and to the administrative authority. Cancellation shall not occur before 120 days have lapsed beginning on the date that both the Principal and the administrative authority received the notice of cancellation, as evidenced by the return receipts.</w:t>
      </w:r>
    </w:p>
    <w:p w14:paraId="08927C5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Principal may terminate this bond by sending written notice to the Surety and to the administrative authority, provided, however, that no such notice shall become effective until the Surety receives written authorization for termination of the bond by the administrative authority.</w:t>
      </w:r>
    </w:p>
    <w:p w14:paraId="76BA0EB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strike/>
        </w:rPr>
        <w:t>The Principal and Surety hereby agree to adjust the penal sum of the bond yearly in accordance with LAC 33:IX.7307.E.2.d.vi and the conditions of the permit so that it guarantees a new closure amount, provided that the penal sum does not increase or decrease without the written permission of the administrative authority.</w:t>
      </w:r>
    </w:p>
    <w:p w14:paraId="5AD38A4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Principal and Surety hereby agree that no portion of the penal sum may be expended without prior written approval of the administrative authority.</w:t>
      </w:r>
    </w:p>
    <w:p w14:paraId="006B983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IN WITNESS WHEREOF, the Principal and the Surety have executed this PERFORMANCE BOND and have affixed their seals on the date set forth above.</w:t>
      </w:r>
    </w:p>
    <w:p w14:paraId="3ABA223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Those persons whose signatures appear below hereby certify that they are authorized to execute this surety bond on behalf of the Principal and Surety, that each Surety hereto is authorized to do business in the State of Louisiana, and that the wording of this surety bond is identical to the wording specified in LAC 33:IX.7395.Appendix F, effective on the date this bond was executed.</w:t>
      </w:r>
    </w:p>
    <w:tbl>
      <w:tblPr>
        <w:tblW w:w="0" w:type="auto"/>
        <w:jc w:val="center"/>
        <w:tblLook w:val="01E0" w:firstRow="1" w:lastRow="1" w:firstColumn="1" w:lastColumn="1" w:noHBand="0" w:noVBand="0"/>
      </w:tblPr>
      <w:tblGrid>
        <w:gridCol w:w="4311"/>
      </w:tblGrid>
      <w:tr w:rsidR="00326E64" w:rsidRPr="00326E64" w14:paraId="136B6C4E" w14:textId="77777777" w:rsidTr="00A54079">
        <w:trPr>
          <w:cantSplit/>
          <w:jc w:val="center"/>
        </w:trPr>
        <w:tc>
          <w:tcPr>
            <w:tcW w:w="4311" w:type="dxa"/>
          </w:tcPr>
          <w:p w14:paraId="11C0258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PRINCIPAL</w:t>
            </w:r>
          </w:p>
        </w:tc>
      </w:tr>
      <w:tr w:rsidR="00326E64" w:rsidRPr="00326E64" w14:paraId="34D91435" w14:textId="77777777" w:rsidTr="00A54079">
        <w:trPr>
          <w:cantSplit/>
          <w:jc w:val="center"/>
        </w:trPr>
        <w:tc>
          <w:tcPr>
            <w:tcW w:w="4311" w:type="dxa"/>
          </w:tcPr>
          <w:p w14:paraId="1B26A6C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[Signature(s)]</w:t>
            </w:r>
          </w:p>
        </w:tc>
      </w:tr>
      <w:tr w:rsidR="00326E64" w:rsidRPr="00326E64" w14:paraId="35F1FD85" w14:textId="77777777" w:rsidTr="00A54079">
        <w:trPr>
          <w:cantSplit/>
          <w:jc w:val="center"/>
        </w:trPr>
        <w:tc>
          <w:tcPr>
            <w:tcW w:w="4311" w:type="dxa"/>
          </w:tcPr>
          <w:p w14:paraId="06E90F0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[Name(s)]</w:t>
            </w:r>
          </w:p>
        </w:tc>
      </w:tr>
      <w:tr w:rsidR="00326E64" w:rsidRPr="00326E64" w14:paraId="1A00F6DE" w14:textId="77777777" w:rsidTr="00A54079">
        <w:trPr>
          <w:cantSplit/>
          <w:jc w:val="center"/>
        </w:trPr>
        <w:tc>
          <w:tcPr>
            <w:tcW w:w="4311" w:type="dxa"/>
          </w:tcPr>
          <w:p w14:paraId="1F97B4D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[Title(s)]</w:t>
            </w:r>
          </w:p>
        </w:tc>
      </w:tr>
      <w:tr w:rsidR="00326E64" w:rsidRPr="00326E64" w14:paraId="7C1E4B50" w14:textId="77777777" w:rsidTr="00A54079">
        <w:trPr>
          <w:cantSplit/>
          <w:jc w:val="center"/>
        </w:trPr>
        <w:tc>
          <w:tcPr>
            <w:tcW w:w="4311" w:type="dxa"/>
          </w:tcPr>
          <w:p w14:paraId="320B71E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[Corporate seal]</w:t>
            </w:r>
          </w:p>
        </w:tc>
      </w:tr>
    </w:tbl>
    <w:p w14:paraId="313C4170" w14:textId="77777777" w:rsidR="00326E64" w:rsidRPr="00326E64" w:rsidRDefault="00326E64" w:rsidP="00326E64">
      <w:pPr>
        <w:spacing w:line="480" w:lineRule="auto"/>
        <w:rPr>
          <w:rFonts w:ascii="Times New Roman" w:eastAsia="Calibri" w:hAnsi="Times New Roman" w:cs="Times New Roman"/>
          <w:strike/>
        </w:rPr>
      </w:pPr>
    </w:p>
    <w:tbl>
      <w:tblPr>
        <w:tblW w:w="0" w:type="auto"/>
        <w:jc w:val="center"/>
        <w:tblLook w:val="01E0" w:firstRow="1" w:lastRow="1" w:firstColumn="1" w:lastColumn="1" w:noHBand="0" w:noVBand="0"/>
      </w:tblPr>
      <w:tblGrid>
        <w:gridCol w:w="4320"/>
      </w:tblGrid>
      <w:tr w:rsidR="00326E64" w:rsidRPr="00326E64" w14:paraId="7A549CB8" w14:textId="77777777" w:rsidTr="00A54079">
        <w:trPr>
          <w:cantSplit/>
          <w:jc w:val="center"/>
        </w:trPr>
        <w:tc>
          <w:tcPr>
            <w:tcW w:w="4320" w:type="dxa"/>
          </w:tcPr>
          <w:p w14:paraId="6FA7257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CORPORATE SURETY</w:t>
            </w:r>
          </w:p>
        </w:tc>
      </w:tr>
      <w:tr w:rsidR="00326E64" w:rsidRPr="00326E64" w14:paraId="62A0AA7D" w14:textId="77777777" w:rsidTr="00A54079">
        <w:trPr>
          <w:cantSplit/>
          <w:jc w:val="center"/>
        </w:trPr>
        <w:tc>
          <w:tcPr>
            <w:tcW w:w="4320" w:type="dxa"/>
          </w:tcPr>
          <w:p w14:paraId="1B0D271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[Name and address]</w:t>
            </w:r>
          </w:p>
        </w:tc>
      </w:tr>
      <w:tr w:rsidR="00326E64" w:rsidRPr="00326E64" w14:paraId="0C76FFD8" w14:textId="77777777" w:rsidTr="00A54079">
        <w:trPr>
          <w:cantSplit/>
          <w:jc w:val="center"/>
        </w:trPr>
        <w:tc>
          <w:tcPr>
            <w:tcW w:w="4320" w:type="dxa"/>
          </w:tcPr>
          <w:p w14:paraId="48B96C2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State of incorporation: ______________</w:t>
            </w:r>
          </w:p>
        </w:tc>
      </w:tr>
      <w:tr w:rsidR="00326E64" w:rsidRPr="00326E64" w14:paraId="0FE1586D" w14:textId="77777777" w:rsidTr="00A54079">
        <w:trPr>
          <w:cantSplit/>
          <w:jc w:val="center"/>
        </w:trPr>
        <w:tc>
          <w:tcPr>
            <w:tcW w:w="4320" w:type="dxa"/>
          </w:tcPr>
          <w:p w14:paraId="4C41B59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Liability limit: $____________</w:t>
            </w:r>
          </w:p>
        </w:tc>
      </w:tr>
      <w:tr w:rsidR="00326E64" w:rsidRPr="00326E64" w14:paraId="41F7A627" w14:textId="77777777" w:rsidTr="00A54079">
        <w:trPr>
          <w:cantSplit/>
          <w:jc w:val="center"/>
        </w:trPr>
        <w:tc>
          <w:tcPr>
            <w:tcW w:w="4320" w:type="dxa"/>
          </w:tcPr>
          <w:p w14:paraId="530A01E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lastRenderedPageBreak/>
              <w:t>[Signature(s)]</w:t>
            </w:r>
          </w:p>
        </w:tc>
      </w:tr>
      <w:tr w:rsidR="00326E64" w:rsidRPr="00326E64" w14:paraId="31268B34" w14:textId="77777777" w:rsidTr="00A54079">
        <w:trPr>
          <w:cantSplit/>
          <w:jc w:val="center"/>
        </w:trPr>
        <w:tc>
          <w:tcPr>
            <w:tcW w:w="4320" w:type="dxa"/>
          </w:tcPr>
          <w:p w14:paraId="54ADF89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[Name(s) and title(s)]</w:t>
            </w:r>
          </w:p>
        </w:tc>
      </w:tr>
      <w:tr w:rsidR="00326E64" w:rsidRPr="00326E64" w14:paraId="40B7C791" w14:textId="77777777" w:rsidTr="00A54079">
        <w:trPr>
          <w:cantSplit/>
          <w:jc w:val="center"/>
        </w:trPr>
        <w:tc>
          <w:tcPr>
            <w:tcW w:w="4320" w:type="dxa"/>
          </w:tcPr>
          <w:p w14:paraId="2EB7154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[Corporate seal]</w:t>
            </w:r>
          </w:p>
        </w:tc>
      </w:tr>
      <w:tr w:rsidR="00326E64" w:rsidRPr="00326E64" w14:paraId="0E438F1F" w14:textId="77777777" w:rsidTr="00A54079">
        <w:trPr>
          <w:cantSplit/>
          <w:jc w:val="center"/>
        </w:trPr>
        <w:tc>
          <w:tcPr>
            <w:tcW w:w="4320" w:type="dxa"/>
          </w:tcPr>
          <w:p w14:paraId="656FD4C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[For every cosurety, provide signature(s), corporate seal, and other information in the same manner as for Surety above.]</w:t>
            </w:r>
          </w:p>
        </w:tc>
      </w:tr>
      <w:tr w:rsidR="00326E64" w:rsidRPr="00326E64" w14:paraId="4A26EC2F" w14:textId="77777777" w:rsidTr="00A54079">
        <w:trPr>
          <w:cantSplit/>
          <w:jc w:val="center"/>
        </w:trPr>
        <w:tc>
          <w:tcPr>
            <w:tcW w:w="4320" w:type="dxa"/>
          </w:tcPr>
          <w:p w14:paraId="50D6592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Bond premium: $___________</w:t>
            </w:r>
          </w:p>
        </w:tc>
      </w:tr>
    </w:tbl>
    <w:p w14:paraId="523F97B2" w14:textId="77777777" w:rsidR="00326E64" w:rsidRPr="00326E64" w:rsidRDefault="00326E64" w:rsidP="00326E64">
      <w:pPr>
        <w:spacing w:line="480" w:lineRule="auto"/>
        <w:rPr>
          <w:rFonts w:ascii="Times New Roman" w:eastAsia="Calibri" w:hAnsi="Times New Roman" w:cs="Times New Roman"/>
          <w:strike/>
        </w:rPr>
      </w:pPr>
    </w:p>
    <w:p w14:paraId="6CAB729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G.</w:t>
      </w:r>
      <w:r w:rsidRPr="00326E64">
        <w:rPr>
          <w:rFonts w:ascii="Times New Roman" w:eastAsia="Calibri" w:hAnsi="Times New Roman" w:cs="Times New Roman"/>
          <w:strike/>
        </w:rPr>
        <w:tab/>
        <w:t>Appendix G―Letter of Credit</w:t>
      </w:r>
    </w:p>
    <w:p w14:paraId="0857C60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[Insert, as applicable:</w:t>
      </w:r>
      <w:r w:rsidRPr="00326E64">
        <w:rPr>
          <w:rFonts w:ascii="Times New Roman" w:eastAsia="Calibri" w:hAnsi="Times New Roman" w:cs="Times New Roman"/>
          <w:strike/>
        </w:rPr>
        <w:br/>
      </w:r>
      <w:r w:rsidRPr="00326E64">
        <w:rPr>
          <w:rFonts w:ascii="Times New Roman" w:eastAsia="Calibri" w:hAnsi="Times New Roman" w:cs="Times New Roman"/>
        </w:rPr>
        <w:t xml:space="preserve"> </w:t>
      </w:r>
      <w:r w:rsidRPr="00326E64">
        <w:rPr>
          <w:rFonts w:ascii="Times New Roman" w:eastAsia="Calibri" w:hAnsi="Times New Roman" w:cs="Times New Roman"/>
          <w:strike/>
        </w:rPr>
        <w:t>"COMMERCIAL PREPARER OF SEWAGE SLUDGE" or "COMMERCIAL LAND APPLIER OF BIOSOLIDS"]</w:t>
      </w:r>
    </w:p>
    <w:p w14:paraId="2A55A76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IRREVOCABLE LETTER OF CREDIT</w:t>
      </w:r>
    </w:p>
    <w:p w14:paraId="3303191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Secretary</w:t>
      </w:r>
    </w:p>
    <w:p w14:paraId="18E673E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Louisiana Department of Environmental Quality</w:t>
      </w:r>
    </w:p>
    <w:p w14:paraId="5BFA2C8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Post Office Box 4313</w:t>
      </w:r>
    </w:p>
    <w:p w14:paraId="278A2FC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Baton Rouge, Louisiana 70821-4313</w:t>
      </w:r>
    </w:p>
    <w:p w14:paraId="7B58844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Attention:</w:t>
      </w:r>
      <w:r w:rsidRPr="00326E64">
        <w:rPr>
          <w:rFonts w:ascii="Times New Roman" w:eastAsia="Calibri" w:hAnsi="Times New Roman" w:cs="Times New Roman"/>
          <w:strike/>
        </w:rPr>
        <w:tab/>
        <w:t>Office of Environmental Services</w:t>
      </w:r>
    </w:p>
    <w:p w14:paraId="0DD718C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Dear Sir:</w:t>
      </w:r>
    </w:p>
    <w:p w14:paraId="0FDDFEF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 xml:space="preserve">We hereby establish our Irrevocable Standby Letter of Credit No. ________ in favor of the Department of Environmental Quality of the State of Louisiana at the request and for the account of [affected person’s name and address] for the closure fund for its [list agency interest </w:t>
      </w:r>
      <w:r w:rsidRPr="00326E64">
        <w:rPr>
          <w:rFonts w:ascii="Times New Roman" w:eastAsia="Calibri" w:hAnsi="Times New Roman" w:cs="Times New Roman"/>
          <w:strike/>
        </w:rPr>
        <w:lastRenderedPageBreak/>
        <w:t>number, site name, facility name, facility permit number] at [location], Louisiana, for any sum or sums up to the aggregate amount of U.S. dollars $__________ upon presentation of:</w:t>
      </w:r>
    </w:p>
    <w:p w14:paraId="528BAC9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A sight draft, bearing reference to the Letter of Credit No. ________ drawn by the administrative authority, together with;</w:t>
      </w:r>
    </w:p>
    <w:p w14:paraId="5369DD2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(ii).</w:t>
      </w:r>
      <w:r w:rsidRPr="00326E64">
        <w:rPr>
          <w:rFonts w:ascii="Times New Roman" w:eastAsia="Calibri" w:hAnsi="Times New Roman" w:cs="Times New Roman"/>
          <w:strike/>
        </w:rPr>
        <w:tab/>
        <w:t>A statement, signed by the administrative authority, declaring that the amount of the draft is payable into the standby trust fund pursuant to the Louisiana Environmental Quality Act, R.S. 30:2001 et seq.</w:t>
      </w:r>
    </w:p>
    <w:p w14:paraId="1F56CE8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Letter of Credit is effective as of [date] and will expire on [date], but such expiration date will be automatically extended for a period of at least one year on the above expiration date [date] and on each successive expiration date thereafter, unless, at least 120 days before the then-current expiration date, we notify both the administrative authority and [name of affected person] by certified mail that we have decided not to extend this Letter of Credit beyond the then-current expiration date. In the event that we give such notification, any unused portion of this Letter of Credit shall be available upon presentation of your sight draft for 120 days after the date of receipt by both the Department of Environmental Quality and [name of affected person], as shown on the signed return receipts.</w:t>
      </w:r>
    </w:p>
    <w:p w14:paraId="603E004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Whenever this Letter of Credit is drawn under and in compliance with the terms of this credit, we shall duly honor such draft upon presentation to us, and we shall deposit the amount of the draft directly into the standby trust fund of [name of affected person] in accordance with the administrative authority's instructions.</w:t>
      </w:r>
    </w:p>
    <w:p w14:paraId="459ECCC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 xml:space="preserve">Except to the extent otherwise expressly agreed to, the [insert "the most recent edition of the Uniform Customs and Practice for Documentary Credits, published and copyrighted by the </w:t>
      </w:r>
      <w:r w:rsidRPr="00326E64">
        <w:rPr>
          <w:rFonts w:ascii="Times New Roman" w:eastAsia="Calibri" w:hAnsi="Times New Roman" w:cs="Times New Roman"/>
          <w:strike/>
        </w:rPr>
        <w:lastRenderedPageBreak/>
        <w:t>International Chamber of Commerce," or "the Uniform Commercial Code"] , shall apply to this Letter of Credit.</w:t>
      </w:r>
    </w:p>
    <w:p w14:paraId="78231F0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We certify that the wording of this Letter of Credit is identical to the wording specified in Louisiana Administrative Code (LAC), Title 33, Part IX.7395.Appendix G, effective on the date shown immediately below.</w:t>
      </w:r>
    </w:p>
    <w:p w14:paraId="766AFC0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[Signature(s) and title(s) of official(s) of issuing institution(s)]</w:t>
      </w:r>
    </w:p>
    <w:p w14:paraId="01529AE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[date]</w:t>
      </w:r>
    </w:p>
    <w:p w14:paraId="590CDF4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H.</w:t>
      </w:r>
      <w:r w:rsidRPr="00326E64">
        <w:rPr>
          <w:rFonts w:ascii="Times New Roman" w:eastAsia="Calibri" w:hAnsi="Times New Roman" w:cs="Times New Roman"/>
          <w:strike/>
        </w:rPr>
        <w:tab/>
        <w:t>Appendix H―Certificate of Insurance</w:t>
      </w:r>
    </w:p>
    <w:p w14:paraId="5DDEF82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[Insert, as applicable:</w:t>
      </w:r>
      <w:r w:rsidRPr="00326E64">
        <w:rPr>
          <w:rFonts w:ascii="Times New Roman" w:eastAsia="Calibri" w:hAnsi="Times New Roman" w:cs="Times New Roman"/>
          <w:strike/>
        </w:rPr>
        <w:br/>
        <w:t>"COMMERCIAL PREPARER OF SEWAGE SLUDGE" or "COMMERCIAL LAND APPLIER OF BIOSOLIDS"]</w:t>
      </w:r>
    </w:p>
    <w:p w14:paraId="4DE275B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CERTIFICATE OF INSURANCE FOR CLOSURE</w:t>
      </w:r>
    </w:p>
    <w:p w14:paraId="03CAB1E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Name and Address of Insurer: ______________________</w:t>
      </w:r>
    </w:p>
    <w:p w14:paraId="12174B7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(hereinafter called the "Insurer")</w:t>
      </w:r>
    </w:p>
    <w:p w14:paraId="22B6498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Name and Address of Insured: _____________________</w:t>
      </w:r>
    </w:p>
    <w:p w14:paraId="462F963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 xml:space="preserve">(hereinafter called the "Insured") </w:t>
      </w:r>
    </w:p>
    <w:p w14:paraId="2AA26B1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(Note: Insured must be the affected person.)</w:t>
      </w:r>
    </w:p>
    <w:p w14:paraId="33F3F4A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Facilities covered: [list the agency interest number(s), site name(s), facility name(s), facility permit number(s), address(es), and amount(s) of insurance for closure] (These amounts for all facilities must total the face amount shown below.)</w:t>
      </w:r>
    </w:p>
    <w:p w14:paraId="30FE731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Face Amount: ____________________________</w:t>
      </w:r>
    </w:p>
    <w:p w14:paraId="2C91A52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Policy Number: ____________________________</w:t>
      </w:r>
    </w:p>
    <w:p w14:paraId="6A7894D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Effective Date: ____________________________</w:t>
      </w:r>
    </w:p>
    <w:p w14:paraId="2EF1E7C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strike/>
        </w:rPr>
        <w:t>The Insurer hereby certifies that it has issued to the Insured the policy of insurance identified above to provide financial assurance for closure for the facilities identified above. The Insurer further warrants that such policy conforms in all respects to the requirements of LAC 33:IX.7307.D.1.a or E.2.g, as applicable, and as such regulations were constituted on the date shown immediately below. It is agreed that any provision of the policy inconsistent with such regulations is hereby amended to eliminate such inconsistency.</w:t>
      </w:r>
    </w:p>
    <w:p w14:paraId="115471B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Whenever requested by the administrative authority, the Insurer agrees to furnish to the administrative authority a duplicate original of the policy listed above, including all endorsements thereon.</w:t>
      </w:r>
    </w:p>
    <w:p w14:paraId="6F9B3F7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I hereby certify that the Insurer is admitted, authorized, or eligible to conduct insurance business in the State of Louisiana and that the wording of this certificate is identical to the wording specified in LAC 33:IX.7395.Appendix H, effective on the date shown immediately below.</w:t>
      </w:r>
    </w:p>
    <w:p w14:paraId="31DE84B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[Authorized signature of Insurer]</w:t>
      </w:r>
    </w:p>
    <w:p w14:paraId="4096E54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[Name of person signing]</w:t>
      </w:r>
    </w:p>
    <w:p w14:paraId="77E7C65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[Title of person signing]</w:t>
      </w:r>
    </w:p>
    <w:p w14:paraId="11B0CBC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Signature of witness or notary:___________________</w:t>
      </w:r>
    </w:p>
    <w:p w14:paraId="46855DF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[Date]</w:t>
      </w:r>
    </w:p>
    <w:p w14:paraId="0573999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I.</w:t>
      </w:r>
      <w:r w:rsidRPr="00326E64">
        <w:rPr>
          <w:rFonts w:ascii="Times New Roman" w:eastAsia="Calibri" w:hAnsi="Times New Roman" w:cs="Times New Roman"/>
          <w:strike/>
        </w:rPr>
        <w:tab/>
        <w:t>Appendix I―Letter from the Chief Financial Officer</w:t>
      </w:r>
    </w:p>
    <w:p w14:paraId="3ED6FD4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[Insert, as applicable: </w:t>
      </w:r>
      <w:r w:rsidRPr="00326E64">
        <w:rPr>
          <w:rFonts w:ascii="Times New Roman" w:eastAsia="Calibri" w:hAnsi="Times New Roman" w:cs="Times New Roman"/>
          <w:strike/>
        </w:rPr>
        <w:br/>
        <w:t>"COMMERCIAL PREPARER OF SEWAGE SLUDGE" or "COMMERCIAL LAND APPLIER OF BIOSOLIDS"]</w:t>
      </w:r>
    </w:p>
    <w:p w14:paraId="58C08AE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LETTER FROM THE CHIEF FINANCIAL OFFICER</w:t>
      </w:r>
    </w:p>
    <w:p w14:paraId="6D9E8E0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lastRenderedPageBreak/>
        <w:t>(LIABILITY COVERAGE AND/OR CLOSURE)</w:t>
      </w:r>
    </w:p>
    <w:p w14:paraId="76BB538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Secretary</w:t>
      </w:r>
    </w:p>
    <w:p w14:paraId="0B80F3E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Louisiana Department of Environmental Quality</w:t>
      </w:r>
    </w:p>
    <w:p w14:paraId="6D19E13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Post Office Box 4313</w:t>
      </w:r>
    </w:p>
    <w:p w14:paraId="14E22EA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Baton Rouge, Louisiana 70821-4313</w:t>
      </w:r>
    </w:p>
    <w:p w14:paraId="4424D30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Attention:</w:t>
      </w:r>
      <w:r w:rsidRPr="00326E64">
        <w:rPr>
          <w:rFonts w:ascii="Times New Roman" w:eastAsia="Calibri" w:hAnsi="Times New Roman" w:cs="Times New Roman"/>
          <w:strike/>
        </w:rPr>
        <w:tab/>
        <w:t>Office of Environmental Services</w:t>
      </w:r>
    </w:p>
    <w:p w14:paraId="53C1626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Dear Sir:</w:t>
      </w:r>
    </w:p>
    <w:p w14:paraId="3CE8EA9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I am the chief financial officer of [name and address of firm, which may be either the affected person or parent corporation of the affected person]. This letter is in support of this firm's use of the financial test to demonstrate financial responsibility for [insert "liability coverage" and/or "closure," as applicable] as specified in Louisiana Administrative Code (LAC), Title 33, Part IX.[insert "7307.D.1.c," "7307.E.2.h," or "7307.D.1.c and E.2.h"].</w:t>
      </w:r>
    </w:p>
    <w:p w14:paraId="4E7CDFF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[Fill out the following four paragraphs regarding facilities and associated liability coverage, and closure cost estimates. If your firm does not have facilities that belong in a particular paragraph, write "None" in the space indicated. For each facility, list the agency interest number, site name, facility name, and facility permit number.]</w:t>
      </w:r>
    </w:p>
    <w:p w14:paraId="27A93EF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firm identified above is the [insert "affected person" or "parent corporation of the affected person"], whether in the State of Louisiana or not, for which liability coverage is being demonstrated through the financial test specified in LAC 33:IX.7307.D.1.c. The amount of annual aggregate liability coverage covered by the test is shown for each facility:</w:t>
      </w:r>
    </w:p>
    <w:p w14:paraId="22E1EFC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 xml:space="preserve">The firm identified above is the [insert "affected person" or "parent corporation of the affected person"], whether in the State of Louisiana or not, for which financial assurance for closure is demonstrated through a financial test similar to that specified in LAC </w:t>
      </w:r>
      <w:r w:rsidRPr="00326E64">
        <w:rPr>
          <w:rFonts w:ascii="Times New Roman" w:eastAsia="Calibri" w:hAnsi="Times New Roman" w:cs="Times New Roman"/>
          <w:strike/>
        </w:rPr>
        <w:lastRenderedPageBreak/>
        <w:t>33:IX.7307.E.2.h or other forms of self-insurance. The current closure cost estimates covered by the test are shown for each facility:</w:t>
      </w:r>
    </w:p>
    <w:p w14:paraId="50B7D7B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This firm guarantees through a corporate guarantee similar to that specified in [insert "LAC 33:IX.7307.D.1.d," "LAC 33:IX.7307.E.2.h.ix," or "LAC 33:IX.7307.D.1.d and E.2.h.ix"], [insert "liability coverage," and/or "closure,"] whether in the State of Louisiana or not, of which [insert the name of the affected person] are/is a subsidiary of this firm. The amount of annual aggregate liability coverage covered by the guarantee for each facility and/or the current cost estimates for the closure so guaranteed is shown for each facility:</w:t>
      </w:r>
    </w:p>
    <w:p w14:paraId="37DC6DF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This firm is the owner or operator of the following facilities, whether in the State of Louisiana or not, for which financial assurance for liability coverage and/or closure is not demonstrated either to the U.S. Environmental Protection Agency or to a state through a financial test or any other financial assurance mechanism similar to those specified in LAC 33:IX.7307.D and/or E. The current closure cost estimates not covered by such financial assurance are shown for each facility:</w:t>
      </w:r>
    </w:p>
    <w:p w14:paraId="1E7268D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This firm [insert "is required" or "is not required"] to file a Form 10K with the Securities and Exchange Commission (SEC) for the latest fiscal year.</w:t>
      </w:r>
    </w:p>
    <w:p w14:paraId="262C624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The fiscal year of this firm ends on [month, day]. The figures for the following items marked with an asterisk are derived from this firm's independently-audited, year-end financial statements for the latest completed year, ended [date].</w:t>
      </w:r>
    </w:p>
    <w:p w14:paraId="0FC3591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[Fill in Part A if you are using the financial test to demonstrate coverage only for the liability requirements.]</w:t>
      </w:r>
    </w:p>
    <w:p w14:paraId="543EC27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PART A.</w:t>
      </w:r>
      <w:r w:rsidRPr="00326E64">
        <w:rPr>
          <w:rFonts w:ascii="Times New Roman" w:eastAsia="Calibri" w:hAnsi="Times New Roman" w:cs="Times New Roman"/>
          <w:strike/>
        </w:rPr>
        <w:tab/>
        <w:t>LIABILITY COVERAGE FOR ACCIDENTAL OCCURRENCES</w:t>
      </w:r>
    </w:p>
    <w:p w14:paraId="06B8398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[Fill in Alternative I if the criteria of LAC 33:IX.7307.E.2.h.i.(a) are used.]</w:t>
      </w:r>
    </w:p>
    <w:tbl>
      <w:tblPr>
        <w:tblW w:w="7740" w:type="dxa"/>
        <w:tblInd w:w="1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5130"/>
        <w:gridCol w:w="1023"/>
        <w:gridCol w:w="1587"/>
      </w:tblGrid>
      <w:tr w:rsidR="00326E64" w:rsidRPr="00326E64" w14:paraId="137C1076" w14:textId="77777777" w:rsidTr="00A54079">
        <w:trPr>
          <w:cantSplit/>
          <w:tblHeader/>
        </w:trPr>
        <w:tc>
          <w:tcPr>
            <w:tcW w:w="7740" w:type="dxa"/>
            <w:gridSpan w:val="3"/>
            <w:tcBorders>
              <w:top w:val="double" w:sz="6" w:space="0" w:color="auto"/>
              <w:bottom w:val="single" w:sz="6" w:space="0" w:color="auto"/>
            </w:tcBorders>
            <w:shd w:val="clear" w:color="auto" w:fill="E0E0E0"/>
            <w:vAlign w:val="center"/>
          </w:tcPr>
          <w:p w14:paraId="648312FB"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lastRenderedPageBreak/>
              <w:t>Alternative I</w:t>
            </w:r>
          </w:p>
        </w:tc>
      </w:tr>
      <w:tr w:rsidR="00326E64" w:rsidRPr="00326E64" w14:paraId="5FC07A7C" w14:textId="77777777" w:rsidTr="00A54079">
        <w:trPr>
          <w:cantSplit/>
        </w:trPr>
        <w:tc>
          <w:tcPr>
            <w:tcW w:w="5130" w:type="dxa"/>
            <w:tcBorders>
              <w:top w:val="nil"/>
            </w:tcBorders>
            <w:vAlign w:val="center"/>
          </w:tcPr>
          <w:p w14:paraId="19903A3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1.</w:t>
            </w:r>
            <w:r w:rsidRPr="00326E64">
              <w:rPr>
                <w:rFonts w:ascii="Times New Roman" w:eastAsia="Calibri" w:hAnsi="Times New Roman" w:cs="Times New Roman"/>
              </w:rPr>
              <w:t xml:space="preserve"> </w:t>
            </w:r>
            <w:r w:rsidRPr="00326E64">
              <w:rPr>
                <w:rFonts w:ascii="Times New Roman" w:eastAsia="Calibri" w:hAnsi="Times New Roman" w:cs="Times New Roman"/>
                <w:strike/>
              </w:rPr>
              <w:t>Amount of annual aggregate liability coverage to be demonstrated</w:t>
            </w:r>
          </w:p>
        </w:tc>
        <w:tc>
          <w:tcPr>
            <w:tcW w:w="2610" w:type="dxa"/>
            <w:gridSpan w:val="2"/>
            <w:tcBorders>
              <w:top w:val="nil"/>
            </w:tcBorders>
            <w:vAlign w:val="bottom"/>
          </w:tcPr>
          <w:p w14:paraId="4D15FE1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$_____________</w:t>
            </w:r>
          </w:p>
        </w:tc>
      </w:tr>
      <w:tr w:rsidR="00326E64" w:rsidRPr="00326E64" w14:paraId="2E94A1A7" w14:textId="77777777" w:rsidTr="00A54079">
        <w:trPr>
          <w:cantSplit/>
        </w:trPr>
        <w:tc>
          <w:tcPr>
            <w:tcW w:w="5130" w:type="dxa"/>
            <w:vAlign w:val="center"/>
          </w:tcPr>
          <w:p w14:paraId="7627DC9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*2.</w:t>
            </w:r>
            <w:r w:rsidRPr="00326E64">
              <w:rPr>
                <w:rFonts w:ascii="Times New Roman" w:eastAsia="Calibri" w:hAnsi="Times New Roman" w:cs="Times New Roman"/>
              </w:rPr>
              <w:t xml:space="preserve"> </w:t>
            </w:r>
            <w:r w:rsidRPr="00326E64">
              <w:rPr>
                <w:rFonts w:ascii="Times New Roman" w:eastAsia="Calibri" w:hAnsi="Times New Roman" w:cs="Times New Roman"/>
                <w:strike/>
              </w:rPr>
              <w:t>Current assets</w:t>
            </w:r>
          </w:p>
        </w:tc>
        <w:tc>
          <w:tcPr>
            <w:tcW w:w="2610" w:type="dxa"/>
            <w:gridSpan w:val="2"/>
            <w:vAlign w:val="bottom"/>
          </w:tcPr>
          <w:p w14:paraId="7247264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$_____________</w:t>
            </w:r>
          </w:p>
        </w:tc>
      </w:tr>
      <w:tr w:rsidR="00326E64" w:rsidRPr="00326E64" w14:paraId="412D586E" w14:textId="77777777" w:rsidTr="00A54079">
        <w:trPr>
          <w:cantSplit/>
        </w:trPr>
        <w:tc>
          <w:tcPr>
            <w:tcW w:w="5130" w:type="dxa"/>
            <w:vAlign w:val="center"/>
          </w:tcPr>
          <w:p w14:paraId="170A432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*3.</w:t>
            </w:r>
            <w:r w:rsidRPr="00326E64">
              <w:rPr>
                <w:rFonts w:ascii="Times New Roman" w:eastAsia="Calibri" w:hAnsi="Times New Roman" w:cs="Times New Roman"/>
              </w:rPr>
              <w:t xml:space="preserve"> </w:t>
            </w:r>
            <w:r w:rsidRPr="00326E64">
              <w:rPr>
                <w:rFonts w:ascii="Times New Roman" w:eastAsia="Calibri" w:hAnsi="Times New Roman" w:cs="Times New Roman"/>
                <w:strike/>
              </w:rPr>
              <w:t>Current liabilities</w:t>
            </w:r>
          </w:p>
        </w:tc>
        <w:tc>
          <w:tcPr>
            <w:tcW w:w="2610" w:type="dxa"/>
            <w:gridSpan w:val="2"/>
            <w:vAlign w:val="bottom"/>
          </w:tcPr>
          <w:p w14:paraId="7FBE436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$_____________</w:t>
            </w:r>
          </w:p>
        </w:tc>
      </w:tr>
      <w:tr w:rsidR="00326E64" w:rsidRPr="00326E64" w14:paraId="40A6692E" w14:textId="77777777" w:rsidTr="00A54079">
        <w:trPr>
          <w:cantSplit/>
        </w:trPr>
        <w:tc>
          <w:tcPr>
            <w:tcW w:w="5130" w:type="dxa"/>
            <w:vAlign w:val="center"/>
          </w:tcPr>
          <w:p w14:paraId="03A657D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*4. Tangible net worth</w:t>
            </w:r>
          </w:p>
        </w:tc>
        <w:tc>
          <w:tcPr>
            <w:tcW w:w="2610" w:type="dxa"/>
            <w:gridSpan w:val="2"/>
            <w:vAlign w:val="bottom"/>
          </w:tcPr>
          <w:p w14:paraId="1F84B1D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$_____________</w:t>
            </w:r>
          </w:p>
        </w:tc>
      </w:tr>
      <w:tr w:rsidR="00326E64" w:rsidRPr="00326E64" w14:paraId="33518D41" w14:textId="77777777" w:rsidTr="00A54079">
        <w:trPr>
          <w:cantSplit/>
        </w:trPr>
        <w:tc>
          <w:tcPr>
            <w:tcW w:w="5130" w:type="dxa"/>
            <w:vAlign w:val="bottom"/>
          </w:tcPr>
          <w:p w14:paraId="4B1DE3C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*5.</w:t>
            </w:r>
            <w:r w:rsidRPr="00326E64">
              <w:rPr>
                <w:rFonts w:ascii="Times New Roman" w:eastAsia="Calibri" w:hAnsi="Times New Roman" w:cs="Times New Roman"/>
              </w:rPr>
              <w:t xml:space="preserve"> </w:t>
            </w:r>
            <w:r w:rsidRPr="00326E64">
              <w:rPr>
                <w:rFonts w:ascii="Times New Roman" w:eastAsia="Calibri" w:hAnsi="Times New Roman" w:cs="Times New Roman"/>
                <w:strike/>
              </w:rPr>
              <w:t>If less than 90 percent of assets are located in the U.S., give total U.S. assets</w:t>
            </w:r>
          </w:p>
        </w:tc>
        <w:tc>
          <w:tcPr>
            <w:tcW w:w="2610" w:type="dxa"/>
            <w:gridSpan w:val="2"/>
            <w:vAlign w:val="bottom"/>
          </w:tcPr>
          <w:p w14:paraId="54B8098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$_____________</w:t>
            </w:r>
          </w:p>
        </w:tc>
      </w:tr>
      <w:tr w:rsidR="00326E64" w:rsidRPr="00326E64" w14:paraId="5020118D" w14:textId="77777777" w:rsidTr="00A54079">
        <w:trPr>
          <w:cantSplit/>
        </w:trPr>
        <w:tc>
          <w:tcPr>
            <w:tcW w:w="5130" w:type="dxa"/>
            <w:vAlign w:val="center"/>
          </w:tcPr>
          <w:p w14:paraId="5AA4C5F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 </w:t>
            </w:r>
          </w:p>
        </w:tc>
        <w:tc>
          <w:tcPr>
            <w:tcW w:w="1023" w:type="dxa"/>
            <w:vAlign w:val="center"/>
          </w:tcPr>
          <w:p w14:paraId="7E4B55E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YES</w:t>
            </w:r>
          </w:p>
        </w:tc>
        <w:tc>
          <w:tcPr>
            <w:tcW w:w="1587" w:type="dxa"/>
            <w:vAlign w:val="center"/>
          </w:tcPr>
          <w:p w14:paraId="2B2BF34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NO</w:t>
            </w:r>
          </w:p>
        </w:tc>
      </w:tr>
      <w:tr w:rsidR="00326E64" w:rsidRPr="00326E64" w14:paraId="6DDA38ED" w14:textId="77777777" w:rsidTr="00A54079">
        <w:trPr>
          <w:cantSplit/>
        </w:trPr>
        <w:tc>
          <w:tcPr>
            <w:tcW w:w="5130" w:type="dxa"/>
            <w:vAlign w:val="center"/>
          </w:tcPr>
          <w:p w14:paraId="794E419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6.</w:t>
            </w:r>
            <w:r w:rsidRPr="00326E64">
              <w:rPr>
                <w:rFonts w:ascii="Times New Roman" w:eastAsia="Calibri" w:hAnsi="Times New Roman" w:cs="Times New Roman"/>
              </w:rPr>
              <w:t xml:space="preserve"> </w:t>
            </w:r>
            <w:r w:rsidRPr="00326E64">
              <w:rPr>
                <w:rFonts w:ascii="Times New Roman" w:eastAsia="Calibri" w:hAnsi="Times New Roman" w:cs="Times New Roman"/>
                <w:strike/>
              </w:rPr>
              <w:t>Is line 4 at least $10 million?</w:t>
            </w:r>
          </w:p>
        </w:tc>
        <w:tc>
          <w:tcPr>
            <w:tcW w:w="1023" w:type="dxa"/>
            <w:vAlign w:val="bottom"/>
          </w:tcPr>
          <w:p w14:paraId="4A37F36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c>
          <w:tcPr>
            <w:tcW w:w="1587" w:type="dxa"/>
            <w:vAlign w:val="bottom"/>
          </w:tcPr>
          <w:p w14:paraId="5F80DE3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r>
      <w:tr w:rsidR="00326E64" w:rsidRPr="00326E64" w14:paraId="36446A4B" w14:textId="77777777" w:rsidTr="00A54079">
        <w:trPr>
          <w:cantSplit/>
        </w:trPr>
        <w:tc>
          <w:tcPr>
            <w:tcW w:w="5130" w:type="dxa"/>
            <w:vAlign w:val="center"/>
          </w:tcPr>
          <w:p w14:paraId="67C6BE7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7.</w:t>
            </w:r>
            <w:r w:rsidRPr="00326E64">
              <w:rPr>
                <w:rFonts w:ascii="Times New Roman" w:eastAsia="Calibri" w:hAnsi="Times New Roman" w:cs="Times New Roman"/>
              </w:rPr>
              <w:t xml:space="preserve"> </w:t>
            </w:r>
            <w:r w:rsidRPr="00326E64">
              <w:rPr>
                <w:rFonts w:ascii="Times New Roman" w:eastAsia="Calibri" w:hAnsi="Times New Roman" w:cs="Times New Roman"/>
                <w:strike/>
              </w:rPr>
              <w:t>Is line 4 at least 6 times line 1?</w:t>
            </w:r>
          </w:p>
        </w:tc>
        <w:tc>
          <w:tcPr>
            <w:tcW w:w="1023" w:type="dxa"/>
            <w:vAlign w:val="bottom"/>
          </w:tcPr>
          <w:p w14:paraId="4E863B3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c>
          <w:tcPr>
            <w:tcW w:w="1587" w:type="dxa"/>
            <w:vAlign w:val="bottom"/>
          </w:tcPr>
          <w:p w14:paraId="0E999DB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r>
      <w:tr w:rsidR="00326E64" w:rsidRPr="00326E64" w14:paraId="7F74CB59" w14:textId="77777777" w:rsidTr="00A54079">
        <w:trPr>
          <w:cantSplit/>
        </w:trPr>
        <w:tc>
          <w:tcPr>
            <w:tcW w:w="5130" w:type="dxa"/>
            <w:vAlign w:val="center"/>
          </w:tcPr>
          <w:p w14:paraId="79AE9FE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*8.</w:t>
            </w:r>
            <w:r w:rsidRPr="00326E64">
              <w:rPr>
                <w:rFonts w:ascii="Times New Roman" w:eastAsia="Calibri" w:hAnsi="Times New Roman" w:cs="Times New Roman"/>
              </w:rPr>
              <w:t xml:space="preserve"> </w:t>
            </w:r>
            <w:r w:rsidRPr="00326E64">
              <w:rPr>
                <w:rFonts w:ascii="Times New Roman" w:eastAsia="Calibri" w:hAnsi="Times New Roman" w:cs="Times New Roman"/>
                <w:strike/>
              </w:rPr>
              <w:t>Are at least 90 percent of assets located in the U.S.? If not, complete line 9.</w:t>
            </w:r>
          </w:p>
        </w:tc>
        <w:tc>
          <w:tcPr>
            <w:tcW w:w="1023" w:type="dxa"/>
            <w:vAlign w:val="bottom"/>
          </w:tcPr>
          <w:p w14:paraId="3B3946E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c>
          <w:tcPr>
            <w:tcW w:w="1587" w:type="dxa"/>
            <w:vAlign w:val="bottom"/>
          </w:tcPr>
          <w:p w14:paraId="1F61A14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r>
      <w:tr w:rsidR="00326E64" w:rsidRPr="00326E64" w14:paraId="2CBFAB03" w14:textId="77777777" w:rsidTr="00A54079">
        <w:trPr>
          <w:cantSplit/>
        </w:trPr>
        <w:tc>
          <w:tcPr>
            <w:tcW w:w="5130" w:type="dxa"/>
            <w:vAlign w:val="center"/>
          </w:tcPr>
          <w:p w14:paraId="3EAA1C2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9.</w:t>
            </w:r>
            <w:r w:rsidRPr="00326E64">
              <w:rPr>
                <w:rFonts w:ascii="Times New Roman" w:eastAsia="Calibri" w:hAnsi="Times New Roman" w:cs="Times New Roman"/>
              </w:rPr>
              <w:t xml:space="preserve"> </w:t>
            </w:r>
            <w:r w:rsidRPr="00326E64">
              <w:rPr>
                <w:rFonts w:ascii="Times New Roman" w:eastAsia="Calibri" w:hAnsi="Times New Roman" w:cs="Times New Roman"/>
                <w:strike/>
              </w:rPr>
              <w:t>Is line 4 at least 6 times line 1?</w:t>
            </w:r>
          </w:p>
        </w:tc>
        <w:tc>
          <w:tcPr>
            <w:tcW w:w="1023" w:type="dxa"/>
            <w:vAlign w:val="bottom"/>
          </w:tcPr>
          <w:p w14:paraId="1F05EF2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c>
          <w:tcPr>
            <w:tcW w:w="1587" w:type="dxa"/>
            <w:vAlign w:val="bottom"/>
          </w:tcPr>
          <w:p w14:paraId="41B3E0B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r>
    </w:tbl>
    <w:p w14:paraId="50105B38" w14:textId="77777777" w:rsidR="00326E64" w:rsidRPr="00326E64" w:rsidRDefault="00326E64" w:rsidP="00326E64">
      <w:pPr>
        <w:spacing w:line="480" w:lineRule="auto"/>
        <w:rPr>
          <w:rFonts w:ascii="Times New Roman" w:eastAsia="Calibri" w:hAnsi="Times New Roman" w:cs="Times New Roman"/>
          <w:strike/>
        </w:rPr>
      </w:pPr>
    </w:p>
    <w:p w14:paraId="1E8857F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[Fill in Alternative II if the criteria of LAC 33:IX.7307.E.2.h.i.(b) are used.]</w:t>
      </w:r>
    </w:p>
    <w:tbl>
      <w:tblPr>
        <w:tblW w:w="7740" w:type="dxa"/>
        <w:tblInd w:w="1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130"/>
        <w:gridCol w:w="838"/>
        <w:gridCol w:w="1772"/>
      </w:tblGrid>
      <w:tr w:rsidR="00326E64" w:rsidRPr="00326E64" w14:paraId="78816A07" w14:textId="77777777" w:rsidTr="00A54079">
        <w:trPr>
          <w:cantSplit/>
          <w:tblHeader/>
        </w:trPr>
        <w:tc>
          <w:tcPr>
            <w:tcW w:w="7740" w:type="dxa"/>
            <w:gridSpan w:val="3"/>
            <w:tcBorders>
              <w:top w:val="double" w:sz="6" w:space="0" w:color="auto"/>
              <w:bottom w:val="single" w:sz="6" w:space="0" w:color="auto"/>
            </w:tcBorders>
            <w:shd w:val="clear" w:color="auto" w:fill="E0E0E0"/>
          </w:tcPr>
          <w:p w14:paraId="6FA3C31F"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Alternative II</w:t>
            </w:r>
          </w:p>
        </w:tc>
      </w:tr>
      <w:tr w:rsidR="00326E64" w:rsidRPr="00326E64" w14:paraId="46FAD9CE" w14:textId="77777777" w:rsidTr="00A54079">
        <w:trPr>
          <w:cantSplit/>
        </w:trPr>
        <w:tc>
          <w:tcPr>
            <w:tcW w:w="5130" w:type="dxa"/>
            <w:tcBorders>
              <w:top w:val="nil"/>
            </w:tcBorders>
          </w:tcPr>
          <w:p w14:paraId="17CD92C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1.</w:t>
            </w:r>
            <w:r w:rsidRPr="00326E64">
              <w:rPr>
                <w:rFonts w:ascii="Times New Roman" w:eastAsia="Calibri" w:hAnsi="Times New Roman" w:cs="Times New Roman"/>
              </w:rPr>
              <w:t xml:space="preserve"> </w:t>
            </w:r>
            <w:r w:rsidRPr="00326E64">
              <w:rPr>
                <w:rFonts w:ascii="Times New Roman" w:eastAsia="Calibri" w:hAnsi="Times New Roman" w:cs="Times New Roman"/>
                <w:strike/>
              </w:rPr>
              <w:t>Amount of annual aggregate liability coverage to be demonstrated</w:t>
            </w:r>
          </w:p>
        </w:tc>
        <w:tc>
          <w:tcPr>
            <w:tcW w:w="2610" w:type="dxa"/>
            <w:gridSpan w:val="2"/>
            <w:tcBorders>
              <w:top w:val="nil"/>
            </w:tcBorders>
            <w:vAlign w:val="bottom"/>
          </w:tcPr>
          <w:p w14:paraId="4485402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w:t>
            </w:r>
          </w:p>
        </w:tc>
      </w:tr>
      <w:tr w:rsidR="00326E64" w:rsidRPr="00326E64" w14:paraId="2C825426" w14:textId="77777777" w:rsidTr="00A54079">
        <w:trPr>
          <w:cantSplit/>
        </w:trPr>
        <w:tc>
          <w:tcPr>
            <w:tcW w:w="5130" w:type="dxa"/>
          </w:tcPr>
          <w:p w14:paraId="2082922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2.</w:t>
            </w:r>
            <w:r w:rsidRPr="00326E64">
              <w:rPr>
                <w:rFonts w:ascii="Times New Roman" w:eastAsia="Calibri" w:hAnsi="Times New Roman" w:cs="Times New Roman"/>
              </w:rPr>
              <w:t xml:space="preserve"> </w:t>
            </w:r>
            <w:r w:rsidRPr="00326E64">
              <w:rPr>
                <w:rFonts w:ascii="Times New Roman" w:eastAsia="Calibri" w:hAnsi="Times New Roman" w:cs="Times New Roman"/>
                <w:strike/>
              </w:rPr>
              <w:t>Current bond rating of most recent issuance of this firm and name of rating service</w:t>
            </w:r>
          </w:p>
        </w:tc>
        <w:tc>
          <w:tcPr>
            <w:tcW w:w="2610" w:type="dxa"/>
            <w:gridSpan w:val="2"/>
            <w:vAlign w:val="bottom"/>
          </w:tcPr>
          <w:p w14:paraId="4C2E6FC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06D1D88E" w14:textId="77777777" w:rsidTr="00A54079">
        <w:trPr>
          <w:cantSplit/>
        </w:trPr>
        <w:tc>
          <w:tcPr>
            <w:tcW w:w="5130" w:type="dxa"/>
          </w:tcPr>
          <w:p w14:paraId="1EE2F42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3.</w:t>
            </w:r>
            <w:r w:rsidRPr="00326E64">
              <w:rPr>
                <w:rFonts w:ascii="Times New Roman" w:eastAsia="Calibri" w:hAnsi="Times New Roman" w:cs="Times New Roman"/>
              </w:rPr>
              <w:t xml:space="preserve"> </w:t>
            </w:r>
            <w:r w:rsidRPr="00326E64">
              <w:rPr>
                <w:rFonts w:ascii="Times New Roman" w:eastAsia="Calibri" w:hAnsi="Times New Roman" w:cs="Times New Roman"/>
                <w:strike/>
              </w:rPr>
              <w:t>Date of issuance of bond</w:t>
            </w:r>
          </w:p>
        </w:tc>
        <w:tc>
          <w:tcPr>
            <w:tcW w:w="2610" w:type="dxa"/>
            <w:gridSpan w:val="2"/>
            <w:vAlign w:val="bottom"/>
          </w:tcPr>
          <w:p w14:paraId="03BD0E1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719AB218" w14:textId="77777777" w:rsidTr="00A54079">
        <w:trPr>
          <w:cantSplit/>
        </w:trPr>
        <w:tc>
          <w:tcPr>
            <w:tcW w:w="5130" w:type="dxa"/>
          </w:tcPr>
          <w:p w14:paraId="3B6D776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 xml:space="preserve"> </w:t>
            </w:r>
            <w:r w:rsidRPr="00326E64">
              <w:rPr>
                <w:rFonts w:ascii="Times New Roman" w:eastAsia="Calibri" w:hAnsi="Times New Roman" w:cs="Times New Roman"/>
                <w:strike/>
              </w:rPr>
              <w:t>4.</w:t>
            </w:r>
            <w:r w:rsidRPr="00326E64">
              <w:rPr>
                <w:rFonts w:ascii="Times New Roman" w:eastAsia="Calibri" w:hAnsi="Times New Roman" w:cs="Times New Roman"/>
              </w:rPr>
              <w:t xml:space="preserve"> </w:t>
            </w:r>
            <w:r w:rsidRPr="00326E64">
              <w:rPr>
                <w:rFonts w:ascii="Times New Roman" w:eastAsia="Calibri" w:hAnsi="Times New Roman" w:cs="Times New Roman"/>
                <w:strike/>
              </w:rPr>
              <w:t>Date of maturity of bond</w:t>
            </w:r>
          </w:p>
        </w:tc>
        <w:tc>
          <w:tcPr>
            <w:tcW w:w="2610" w:type="dxa"/>
            <w:gridSpan w:val="2"/>
            <w:vAlign w:val="bottom"/>
          </w:tcPr>
          <w:p w14:paraId="718AB6F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5C83AD27" w14:textId="77777777" w:rsidTr="00A54079">
        <w:trPr>
          <w:cantSplit/>
        </w:trPr>
        <w:tc>
          <w:tcPr>
            <w:tcW w:w="5130" w:type="dxa"/>
          </w:tcPr>
          <w:p w14:paraId="56AF26B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*5.</w:t>
            </w:r>
            <w:r w:rsidRPr="00326E64">
              <w:rPr>
                <w:rFonts w:ascii="Times New Roman" w:eastAsia="Calibri" w:hAnsi="Times New Roman" w:cs="Times New Roman"/>
              </w:rPr>
              <w:t xml:space="preserve"> </w:t>
            </w:r>
            <w:r w:rsidRPr="00326E64">
              <w:rPr>
                <w:rFonts w:ascii="Times New Roman" w:eastAsia="Calibri" w:hAnsi="Times New Roman" w:cs="Times New Roman"/>
                <w:strike/>
              </w:rPr>
              <w:t>Tangible net worth</w:t>
            </w:r>
          </w:p>
        </w:tc>
        <w:tc>
          <w:tcPr>
            <w:tcW w:w="2610" w:type="dxa"/>
            <w:gridSpan w:val="2"/>
            <w:vAlign w:val="bottom"/>
          </w:tcPr>
          <w:p w14:paraId="186E5A1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w:t>
            </w:r>
          </w:p>
        </w:tc>
      </w:tr>
      <w:tr w:rsidR="00326E64" w:rsidRPr="00326E64" w14:paraId="6B98CC09" w14:textId="77777777" w:rsidTr="00A54079">
        <w:trPr>
          <w:cantSplit/>
        </w:trPr>
        <w:tc>
          <w:tcPr>
            <w:tcW w:w="5130" w:type="dxa"/>
          </w:tcPr>
          <w:p w14:paraId="429687D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*6.</w:t>
            </w:r>
            <w:r w:rsidRPr="00326E64">
              <w:rPr>
                <w:rFonts w:ascii="Times New Roman" w:eastAsia="Calibri" w:hAnsi="Times New Roman" w:cs="Times New Roman"/>
              </w:rPr>
              <w:t xml:space="preserve"> </w:t>
            </w:r>
            <w:r w:rsidRPr="00326E64">
              <w:rPr>
                <w:rFonts w:ascii="Times New Roman" w:eastAsia="Calibri" w:hAnsi="Times New Roman" w:cs="Times New Roman"/>
                <w:strike/>
              </w:rPr>
              <w:t>Total assets in U.S. (required only if less than 90 percent of assets are located in the U.S.)</w:t>
            </w:r>
          </w:p>
        </w:tc>
        <w:tc>
          <w:tcPr>
            <w:tcW w:w="2610" w:type="dxa"/>
            <w:gridSpan w:val="2"/>
            <w:vAlign w:val="bottom"/>
          </w:tcPr>
          <w:p w14:paraId="23E6E2D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w:t>
            </w:r>
          </w:p>
        </w:tc>
      </w:tr>
      <w:tr w:rsidR="00326E64" w:rsidRPr="00326E64" w14:paraId="78A788BB" w14:textId="77777777" w:rsidTr="00A54079">
        <w:trPr>
          <w:cantSplit/>
        </w:trPr>
        <w:tc>
          <w:tcPr>
            <w:tcW w:w="5130" w:type="dxa"/>
          </w:tcPr>
          <w:p w14:paraId="5FD85A1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 </w:t>
            </w:r>
          </w:p>
        </w:tc>
        <w:tc>
          <w:tcPr>
            <w:tcW w:w="838" w:type="dxa"/>
            <w:vAlign w:val="center"/>
          </w:tcPr>
          <w:p w14:paraId="0A0643F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YES</w:t>
            </w:r>
          </w:p>
        </w:tc>
        <w:tc>
          <w:tcPr>
            <w:tcW w:w="1772" w:type="dxa"/>
            <w:vAlign w:val="center"/>
          </w:tcPr>
          <w:p w14:paraId="2D6AE38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NO</w:t>
            </w:r>
          </w:p>
        </w:tc>
      </w:tr>
      <w:tr w:rsidR="00326E64" w:rsidRPr="00326E64" w14:paraId="11421ADC" w14:textId="77777777" w:rsidTr="00A54079">
        <w:trPr>
          <w:cantSplit/>
        </w:trPr>
        <w:tc>
          <w:tcPr>
            <w:tcW w:w="5130" w:type="dxa"/>
          </w:tcPr>
          <w:p w14:paraId="4E35743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7.</w:t>
            </w:r>
            <w:r w:rsidRPr="00326E64">
              <w:rPr>
                <w:rFonts w:ascii="Times New Roman" w:eastAsia="Calibri" w:hAnsi="Times New Roman" w:cs="Times New Roman"/>
              </w:rPr>
              <w:t xml:space="preserve"> </w:t>
            </w:r>
            <w:r w:rsidRPr="00326E64">
              <w:rPr>
                <w:rFonts w:ascii="Times New Roman" w:eastAsia="Calibri" w:hAnsi="Times New Roman" w:cs="Times New Roman"/>
                <w:strike/>
              </w:rPr>
              <w:t>Is line 5 at least $10 million?</w:t>
            </w:r>
          </w:p>
        </w:tc>
        <w:tc>
          <w:tcPr>
            <w:tcW w:w="838" w:type="dxa"/>
            <w:vAlign w:val="bottom"/>
          </w:tcPr>
          <w:p w14:paraId="73B7DBE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c>
          <w:tcPr>
            <w:tcW w:w="1772" w:type="dxa"/>
            <w:vAlign w:val="bottom"/>
          </w:tcPr>
          <w:p w14:paraId="6F7C5E7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r>
      <w:tr w:rsidR="00326E64" w:rsidRPr="00326E64" w14:paraId="3E52B8FD" w14:textId="77777777" w:rsidTr="00A54079">
        <w:trPr>
          <w:cantSplit/>
        </w:trPr>
        <w:tc>
          <w:tcPr>
            <w:tcW w:w="5130" w:type="dxa"/>
          </w:tcPr>
          <w:p w14:paraId="300D32F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8.</w:t>
            </w:r>
            <w:r w:rsidRPr="00326E64">
              <w:rPr>
                <w:rFonts w:ascii="Times New Roman" w:eastAsia="Calibri" w:hAnsi="Times New Roman" w:cs="Times New Roman"/>
              </w:rPr>
              <w:t xml:space="preserve"> </w:t>
            </w:r>
            <w:r w:rsidRPr="00326E64">
              <w:rPr>
                <w:rFonts w:ascii="Times New Roman" w:eastAsia="Calibri" w:hAnsi="Times New Roman" w:cs="Times New Roman"/>
                <w:strike/>
              </w:rPr>
              <w:t>Is line 5 at least 6 times line 1?</w:t>
            </w:r>
          </w:p>
        </w:tc>
        <w:tc>
          <w:tcPr>
            <w:tcW w:w="838" w:type="dxa"/>
            <w:vAlign w:val="bottom"/>
          </w:tcPr>
          <w:p w14:paraId="05697E7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c>
          <w:tcPr>
            <w:tcW w:w="1772" w:type="dxa"/>
            <w:vAlign w:val="bottom"/>
          </w:tcPr>
          <w:p w14:paraId="3B26107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r>
      <w:tr w:rsidR="00326E64" w:rsidRPr="00326E64" w14:paraId="51B89AA0" w14:textId="77777777" w:rsidTr="00A54079">
        <w:trPr>
          <w:cantSplit/>
        </w:trPr>
        <w:tc>
          <w:tcPr>
            <w:tcW w:w="5130" w:type="dxa"/>
          </w:tcPr>
          <w:p w14:paraId="068FA33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*9.</w:t>
            </w:r>
            <w:r w:rsidRPr="00326E64">
              <w:rPr>
                <w:rFonts w:ascii="Times New Roman" w:eastAsia="Calibri" w:hAnsi="Times New Roman" w:cs="Times New Roman"/>
              </w:rPr>
              <w:t xml:space="preserve"> </w:t>
            </w:r>
            <w:r w:rsidRPr="00326E64">
              <w:rPr>
                <w:rFonts w:ascii="Times New Roman" w:eastAsia="Calibri" w:hAnsi="Times New Roman" w:cs="Times New Roman"/>
                <w:strike/>
              </w:rPr>
              <w:t>Are at least 90 percent of assets located in the U.S.? If not, complete line 10.</w:t>
            </w:r>
          </w:p>
        </w:tc>
        <w:tc>
          <w:tcPr>
            <w:tcW w:w="838" w:type="dxa"/>
            <w:vAlign w:val="bottom"/>
          </w:tcPr>
          <w:p w14:paraId="4F76597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c>
          <w:tcPr>
            <w:tcW w:w="1772" w:type="dxa"/>
            <w:vAlign w:val="bottom"/>
          </w:tcPr>
          <w:p w14:paraId="0A53F3B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r>
      <w:tr w:rsidR="00326E64" w:rsidRPr="00326E64" w14:paraId="26E7C078" w14:textId="77777777" w:rsidTr="00A54079">
        <w:trPr>
          <w:cantSplit/>
        </w:trPr>
        <w:tc>
          <w:tcPr>
            <w:tcW w:w="5130" w:type="dxa"/>
          </w:tcPr>
          <w:p w14:paraId="3210D75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10.</w:t>
            </w:r>
            <w:r w:rsidRPr="00326E64">
              <w:rPr>
                <w:rFonts w:ascii="Times New Roman" w:eastAsia="Calibri" w:hAnsi="Times New Roman" w:cs="Times New Roman"/>
              </w:rPr>
              <w:t xml:space="preserve"> </w:t>
            </w:r>
            <w:r w:rsidRPr="00326E64">
              <w:rPr>
                <w:rFonts w:ascii="Times New Roman" w:eastAsia="Calibri" w:hAnsi="Times New Roman" w:cs="Times New Roman"/>
                <w:strike/>
              </w:rPr>
              <w:t>Is line 6 at least 6 times line 1?</w:t>
            </w:r>
          </w:p>
        </w:tc>
        <w:tc>
          <w:tcPr>
            <w:tcW w:w="838" w:type="dxa"/>
            <w:vAlign w:val="bottom"/>
          </w:tcPr>
          <w:p w14:paraId="4B22486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c>
          <w:tcPr>
            <w:tcW w:w="1772" w:type="dxa"/>
            <w:vAlign w:val="bottom"/>
          </w:tcPr>
          <w:p w14:paraId="7D404D7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r>
    </w:tbl>
    <w:p w14:paraId="23CF7BF6" w14:textId="77777777" w:rsidR="00326E64" w:rsidRPr="00326E64" w:rsidRDefault="00326E64" w:rsidP="00326E64">
      <w:pPr>
        <w:spacing w:line="480" w:lineRule="auto"/>
        <w:rPr>
          <w:rFonts w:ascii="Times New Roman" w:eastAsia="Calibri" w:hAnsi="Times New Roman" w:cs="Times New Roman"/>
          <w:strike/>
        </w:rPr>
      </w:pPr>
    </w:p>
    <w:p w14:paraId="69D340F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[Fill in Part B if you are using the financial test to demonstrate assurance only for closure.]</w:t>
      </w:r>
    </w:p>
    <w:p w14:paraId="6870313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PART B.</w:t>
      </w:r>
      <w:r w:rsidRPr="00326E64">
        <w:rPr>
          <w:rFonts w:ascii="Times New Roman" w:eastAsia="Calibri" w:hAnsi="Times New Roman" w:cs="Times New Roman"/>
          <w:strike/>
        </w:rPr>
        <w:tab/>
        <w:t>CLOSURE</w:t>
      </w:r>
    </w:p>
    <w:p w14:paraId="331C59D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[Fill in Alternative I if the criteria of LAC 33:IX.7307.E.2.h.i.(a) are used.]</w:t>
      </w:r>
    </w:p>
    <w:tbl>
      <w:tblPr>
        <w:tblW w:w="7740" w:type="dxa"/>
        <w:tblInd w:w="1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5160"/>
        <w:gridCol w:w="868"/>
        <w:gridCol w:w="1712"/>
      </w:tblGrid>
      <w:tr w:rsidR="00326E64" w:rsidRPr="00326E64" w14:paraId="0EE7F494" w14:textId="77777777" w:rsidTr="00A54079">
        <w:trPr>
          <w:cantSplit/>
          <w:tblHeader/>
        </w:trPr>
        <w:tc>
          <w:tcPr>
            <w:tcW w:w="7740" w:type="dxa"/>
            <w:gridSpan w:val="3"/>
            <w:tcBorders>
              <w:top w:val="double" w:sz="6" w:space="0" w:color="auto"/>
              <w:bottom w:val="single" w:sz="6" w:space="0" w:color="auto"/>
            </w:tcBorders>
            <w:shd w:val="clear" w:color="auto" w:fill="E0E0E0"/>
          </w:tcPr>
          <w:p w14:paraId="61AEEDDC"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Alternative I</w:t>
            </w:r>
          </w:p>
        </w:tc>
      </w:tr>
      <w:tr w:rsidR="00326E64" w:rsidRPr="00326E64" w14:paraId="22E333F9" w14:textId="77777777" w:rsidTr="00A54079">
        <w:trPr>
          <w:cantSplit/>
        </w:trPr>
        <w:tc>
          <w:tcPr>
            <w:tcW w:w="5160" w:type="dxa"/>
            <w:tcBorders>
              <w:top w:val="nil"/>
            </w:tcBorders>
          </w:tcPr>
          <w:p w14:paraId="739E9B9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1.</w:t>
            </w:r>
            <w:r w:rsidRPr="00326E64">
              <w:rPr>
                <w:rFonts w:ascii="Times New Roman" w:eastAsia="Calibri" w:hAnsi="Times New Roman" w:cs="Times New Roman"/>
              </w:rPr>
              <w:t xml:space="preserve"> </w:t>
            </w:r>
            <w:r w:rsidRPr="00326E64">
              <w:rPr>
                <w:rFonts w:ascii="Times New Roman" w:eastAsia="Calibri" w:hAnsi="Times New Roman" w:cs="Times New Roman"/>
                <w:strike/>
              </w:rPr>
              <w:t>Sum of current closure estimates (total all cost estimates shown above)</w:t>
            </w:r>
          </w:p>
        </w:tc>
        <w:tc>
          <w:tcPr>
            <w:tcW w:w="2580" w:type="dxa"/>
            <w:gridSpan w:val="2"/>
            <w:tcBorders>
              <w:top w:val="nil"/>
            </w:tcBorders>
            <w:vAlign w:val="bottom"/>
          </w:tcPr>
          <w:p w14:paraId="26C306A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6624B986" w14:textId="77777777" w:rsidTr="00A54079">
        <w:trPr>
          <w:cantSplit/>
        </w:trPr>
        <w:tc>
          <w:tcPr>
            <w:tcW w:w="5160" w:type="dxa"/>
          </w:tcPr>
          <w:p w14:paraId="014DA23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*2.</w:t>
            </w:r>
            <w:r w:rsidRPr="00326E64">
              <w:rPr>
                <w:rFonts w:ascii="Times New Roman" w:eastAsia="Calibri" w:hAnsi="Times New Roman" w:cs="Times New Roman"/>
              </w:rPr>
              <w:t xml:space="preserve"> </w:t>
            </w:r>
            <w:r w:rsidRPr="00326E64">
              <w:rPr>
                <w:rFonts w:ascii="Times New Roman" w:eastAsia="Calibri" w:hAnsi="Times New Roman" w:cs="Times New Roman"/>
                <w:strike/>
              </w:rPr>
              <w:t>Tangible net worth</w:t>
            </w:r>
          </w:p>
        </w:tc>
        <w:tc>
          <w:tcPr>
            <w:tcW w:w="2580" w:type="dxa"/>
            <w:gridSpan w:val="2"/>
            <w:vAlign w:val="bottom"/>
          </w:tcPr>
          <w:p w14:paraId="1A55BC4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35144E53" w14:textId="77777777" w:rsidTr="00A54079">
        <w:trPr>
          <w:cantSplit/>
        </w:trPr>
        <w:tc>
          <w:tcPr>
            <w:tcW w:w="5160" w:type="dxa"/>
          </w:tcPr>
          <w:p w14:paraId="29EE24D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*3.</w:t>
            </w:r>
            <w:r w:rsidRPr="00326E64">
              <w:rPr>
                <w:rFonts w:ascii="Times New Roman" w:eastAsia="Calibri" w:hAnsi="Times New Roman" w:cs="Times New Roman"/>
              </w:rPr>
              <w:t xml:space="preserve"> </w:t>
            </w:r>
            <w:r w:rsidRPr="00326E64">
              <w:rPr>
                <w:rFonts w:ascii="Times New Roman" w:eastAsia="Calibri" w:hAnsi="Times New Roman" w:cs="Times New Roman"/>
                <w:strike/>
              </w:rPr>
              <w:t>Net worth</w:t>
            </w:r>
          </w:p>
        </w:tc>
        <w:tc>
          <w:tcPr>
            <w:tcW w:w="2580" w:type="dxa"/>
            <w:gridSpan w:val="2"/>
            <w:vAlign w:val="bottom"/>
          </w:tcPr>
          <w:p w14:paraId="3007C4C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709C81AE" w14:textId="77777777" w:rsidTr="00A54079">
        <w:trPr>
          <w:cantSplit/>
        </w:trPr>
        <w:tc>
          <w:tcPr>
            <w:tcW w:w="5160" w:type="dxa"/>
          </w:tcPr>
          <w:p w14:paraId="670D85B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*4.</w:t>
            </w:r>
            <w:r w:rsidRPr="00326E64">
              <w:rPr>
                <w:rFonts w:ascii="Times New Roman" w:eastAsia="Calibri" w:hAnsi="Times New Roman" w:cs="Times New Roman"/>
              </w:rPr>
              <w:t xml:space="preserve"> </w:t>
            </w:r>
            <w:r w:rsidRPr="00326E64">
              <w:rPr>
                <w:rFonts w:ascii="Times New Roman" w:eastAsia="Calibri" w:hAnsi="Times New Roman" w:cs="Times New Roman"/>
                <w:strike/>
              </w:rPr>
              <w:t>Current Assets</w:t>
            </w:r>
          </w:p>
        </w:tc>
        <w:tc>
          <w:tcPr>
            <w:tcW w:w="2580" w:type="dxa"/>
            <w:gridSpan w:val="2"/>
            <w:vAlign w:val="bottom"/>
          </w:tcPr>
          <w:p w14:paraId="0CCEB25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3EE8BEDD" w14:textId="77777777" w:rsidTr="00A54079">
        <w:trPr>
          <w:cantSplit/>
        </w:trPr>
        <w:tc>
          <w:tcPr>
            <w:tcW w:w="5160" w:type="dxa"/>
          </w:tcPr>
          <w:p w14:paraId="3F27D46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*5.</w:t>
            </w:r>
            <w:r w:rsidRPr="00326E64">
              <w:rPr>
                <w:rFonts w:ascii="Times New Roman" w:eastAsia="Calibri" w:hAnsi="Times New Roman" w:cs="Times New Roman"/>
              </w:rPr>
              <w:t xml:space="preserve"> </w:t>
            </w:r>
            <w:r w:rsidRPr="00326E64">
              <w:rPr>
                <w:rFonts w:ascii="Times New Roman" w:eastAsia="Calibri" w:hAnsi="Times New Roman" w:cs="Times New Roman"/>
                <w:strike/>
              </w:rPr>
              <w:t>Current liabilities</w:t>
            </w:r>
          </w:p>
        </w:tc>
        <w:tc>
          <w:tcPr>
            <w:tcW w:w="2580" w:type="dxa"/>
            <w:gridSpan w:val="2"/>
            <w:vAlign w:val="bottom"/>
          </w:tcPr>
          <w:p w14:paraId="760BD49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3D2A7780" w14:textId="77777777" w:rsidTr="00A54079">
        <w:trPr>
          <w:cantSplit/>
        </w:trPr>
        <w:tc>
          <w:tcPr>
            <w:tcW w:w="5160" w:type="dxa"/>
          </w:tcPr>
          <w:p w14:paraId="01EEFBB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lastRenderedPageBreak/>
              <w:t>*6.</w:t>
            </w:r>
            <w:r w:rsidRPr="00326E64">
              <w:rPr>
                <w:rFonts w:ascii="Times New Roman" w:eastAsia="Calibri" w:hAnsi="Times New Roman" w:cs="Times New Roman"/>
              </w:rPr>
              <w:t xml:space="preserve"> </w:t>
            </w:r>
            <w:r w:rsidRPr="00326E64">
              <w:rPr>
                <w:rFonts w:ascii="Times New Roman" w:eastAsia="Calibri" w:hAnsi="Times New Roman" w:cs="Times New Roman"/>
                <w:strike/>
              </w:rPr>
              <w:t>The sum of net income plus depreciation, depletion, and amortization</w:t>
            </w:r>
          </w:p>
        </w:tc>
        <w:tc>
          <w:tcPr>
            <w:tcW w:w="2580" w:type="dxa"/>
            <w:gridSpan w:val="2"/>
            <w:vAlign w:val="bottom"/>
          </w:tcPr>
          <w:p w14:paraId="483BE76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35A5580F" w14:textId="77777777" w:rsidTr="00A54079">
        <w:trPr>
          <w:cantSplit/>
        </w:trPr>
        <w:tc>
          <w:tcPr>
            <w:tcW w:w="5160" w:type="dxa"/>
          </w:tcPr>
          <w:p w14:paraId="213742B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*7.</w:t>
            </w:r>
            <w:r w:rsidRPr="00326E64">
              <w:rPr>
                <w:rFonts w:ascii="Times New Roman" w:eastAsia="Calibri" w:hAnsi="Times New Roman" w:cs="Times New Roman"/>
              </w:rPr>
              <w:t xml:space="preserve"> </w:t>
            </w:r>
            <w:r w:rsidRPr="00326E64">
              <w:rPr>
                <w:rFonts w:ascii="Times New Roman" w:eastAsia="Calibri" w:hAnsi="Times New Roman" w:cs="Times New Roman"/>
                <w:strike/>
              </w:rPr>
              <w:t>Total assets in U.S. (required only if less than 90 percent of firm's assets are located in the U.S.)</w:t>
            </w:r>
          </w:p>
        </w:tc>
        <w:tc>
          <w:tcPr>
            <w:tcW w:w="2580" w:type="dxa"/>
            <w:gridSpan w:val="2"/>
            <w:vAlign w:val="bottom"/>
          </w:tcPr>
          <w:p w14:paraId="6008334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487C4A81" w14:textId="77777777" w:rsidTr="00A54079">
        <w:trPr>
          <w:cantSplit/>
        </w:trPr>
        <w:tc>
          <w:tcPr>
            <w:tcW w:w="5160" w:type="dxa"/>
          </w:tcPr>
          <w:p w14:paraId="233002A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 </w:t>
            </w:r>
          </w:p>
        </w:tc>
        <w:tc>
          <w:tcPr>
            <w:tcW w:w="868" w:type="dxa"/>
            <w:vAlign w:val="center"/>
          </w:tcPr>
          <w:p w14:paraId="03E38EC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YES</w:t>
            </w:r>
          </w:p>
        </w:tc>
        <w:tc>
          <w:tcPr>
            <w:tcW w:w="1712" w:type="dxa"/>
            <w:vAlign w:val="center"/>
          </w:tcPr>
          <w:p w14:paraId="4BE9194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NO</w:t>
            </w:r>
          </w:p>
        </w:tc>
      </w:tr>
      <w:tr w:rsidR="00326E64" w:rsidRPr="00326E64" w14:paraId="6446B678" w14:textId="77777777" w:rsidTr="00A54079">
        <w:trPr>
          <w:cantSplit/>
        </w:trPr>
        <w:tc>
          <w:tcPr>
            <w:tcW w:w="5160" w:type="dxa"/>
          </w:tcPr>
          <w:p w14:paraId="6343252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8.</w:t>
            </w:r>
            <w:r w:rsidRPr="00326E64">
              <w:rPr>
                <w:rFonts w:ascii="Times New Roman" w:eastAsia="Calibri" w:hAnsi="Times New Roman" w:cs="Times New Roman"/>
              </w:rPr>
              <w:t xml:space="preserve"> </w:t>
            </w:r>
            <w:r w:rsidRPr="00326E64">
              <w:rPr>
                <w:rFonts w:ascii="Times New Roman" w:eastAsia="Calibri" w:hAnsi="Times New Roman" w:cs="Times New Roman"/>
                <w:strike/>
              </w:rPr>
              <w:t>Is line 2 at least $10 million?</w:t>
            </w:r>
          </w:p>
        </w:tc>
        <w:tc>
          <w:tcPr>
            <w:tcW w:w="868" w:type="dxa"/>
            <w:vAlign w:val="bottom"/>
          </w:tcPr>
          <w:p w14:paraId="21F557C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c>
          <w:tcPr>
            <w:tcW w:w="1712" w:type="dxa"/>
            <w:vAlign w:val="bottom"/>
          </w:tcPr>
          <w:p w14:paraId="5C347A5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r>
      <w:tr w:rsidR="00326E64" w:rsidRPr="00326E64" w14:paraId="6A4F802D" w14:textId="77777777" w:rsidTr="00A54079">
        <w:trPr>
          <w:cantSplit/>
        </w:trPr>
        <w:tc>
          <w:tcPr>
            <w:tcW w:w="5160" w:type="dxa"/>
          </w:tcPr>
          <w:p w14:paraId="07D3096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9.</w:t>
            </w:r>
            <w:r w:rsidRPr="00326E64">
              <w:rPr>
                <w:rFonts w:ascii="Times New Roman" w:eastAsia="Calibri" w:hAnsi="Times New Roman" w:cs="Times New Roman"/>
              </w:rPr>
              <w:t xml:space="preserve"> </w:t>
            </w:r>
            <w:r w:rsidRPr="00326E64">
              <w:rPr>
                <w:rFonts w:ascii="Times New Roman" w:eastAsia="Calibri" w:hAnsi="Times New Roman" w:cs="Times New Roman"/>
                <w:strike/>
              </w:rPr>
              <w:t>Is line 2 at least 6 times line 1?</w:t>
            </w:r>
          </w:p>
        </w:tc>
        <w:tc>
          <w:tcPr>
            <w:tcW w:w="868" w:type="dxa"/>
            <w:vAlign w:val="bottom"/>
          </w:tcPr>
          <w:p w14:paraId="461BF51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c>
          <w:tcPr>
            <w:tcW w:w="1712" w:type="dxa"/>
            <w:vAlign w:val="bottom"/>
          </w:tcPr>
          <w:p w14:paraId="3996D3F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r>
      <w:tr w:rsidR="00326E64" w:rsidRPr="00326E64" w14:paraId="7ECE50FA" w14:textId="77777777" w:rsidTr="00A54079">
        <w:trPr>
          <w:cantSplit/>
        </w:trPr>
        <w:tc>
          <w:tcPr>
            <w:tcW w:w="5160" w:type="dxa"/>
          </w:tcPr>
          <w:p w14:paraId="06F5347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*10.</w:t>
            </w:r>
            <w:r w:rsidRPr="00326E64">
              <w:rPr>
                <w:rFonts w:ascii="Times New Roman" w:eastAsia="Calibri" w:hAnsi="Times New Roman" w:cs="Times New Roman"/>
              </w:rPr>
              <w:t xml:space="preserve"> </w:t>
            </w:r>
            <w:r w:rsidRPr="00326E64">
              <w:rPr>
                <w:rFonts w:ascii="Times New Roman" w:eastAsia="Calibri" w:hAnsi="Times New Roman" w:cs="Times New Roman"/>
                <w:strike/>
              </w:rPr>
              <w:t>Are at least 90 percent of the firm's assets located in the U.S.? If not, complete line 11.</w:t>
            </w:r>
          </w:p>
        </w:tc>
        <w:tc>
          <w:tcPr>
            <w:tcW w:w="868" w:type="dxa"/>
            <w:vAlign w:val="bottom"/>
          </w:tcPr>
          <w:p w14:paraId="07E96A5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c>
          <w:tcPr>
            <w:tcW w:w="1712" w:type="dxa"/>
            <w:vAlign w:val="bottom"/>
          </w:tcPr>
          <w:p w14:paraId="20A1EB5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r>
      <w:tr w:rsidR="00326E64" w:rsidRPr="00326E64" w14:paraId="6097A15A" w14:textId="77777777" w:rsidTr="00A54079">
        <w:trPr>
          <w:cantSplit/>
        </w:trPr>
        <w:tc>
          <w:tcPr>
            <w:tcW w:w="5160" w:type="dxa"/>
          </w:tcPr>
          <w:p w14:paraId="4C0587F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11.</w:t>
            </w:r>
            <w:r w:rsidRPr="00326E64">
              <w:rPr>
                <w:rFonts w:ascii="Times New Roman" w:eastAsia="Calibri" w:hAnsi="Times New Roman" w:cs="Times New Roman"/>
              </w:rPr>
              <w:t xml:space="preserve"> </w:t>
            </w:r>
            <w:r w:rsidRPr="00326E64">
              <w:rPr>
                <w:rFonts w:ascii="Times New Roman" w:eastAsia="Calibri" w:hAnsi="Times New Roman" w:cs="Times New Roman"/>
                <w:strike/>
              </w:rPr>
              <w:t>Is line 7 at least 6 times line 1?</w:t>
            </w:r>
          </w:p>
        </w:tc>
        <w:tc>
          <w:tcPr>
            <w:tcW w:w="868" w:type="dxa"/>
            <w:vAlign w:val="bottom"/>
          </w:tcPr>
          <w:p w14:paraId="0B3F212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c>
          <w:tcPr>
            <w:tcW w:w="1712" w:type="dxa"/>
            <w:vAlign w:val="bottom"/>
          </w:tcPr>
          <w:p w14:paraId="0FE85F2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w:t>
            </w:r>
          </w:p>
        </w:tc>
      </w:tr>
    </w:tbl>
    <w:p w14:paraId="3415E465" w14:textId="77777777" w:rsidR="00326E64" w:rsidRPr="00326E64" w:rsidRDefault="00326E64" w:rsidP="00326E64">
      <w:pPr>
        <w:spacing w:line="480" w:lineRule="auto"/>
        <w:rPr>
          <w:rFonts w:ascii="Times New Roman" w:eastAsia="Calibri" w:hAnsi="Times New Roman" w:cs="Times New Roman"/>
          <w:strike/>
        </w:rPr>
      </w:pPr>
    </w:p>
    <w:p w14:paraId="46E7C35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[Fill in Alternative II if the criteria of LAC 33:IX.7307.E.2.h.i.(b) are used.]</w:t>
      </w:r>
    </w:p>
    <w:tbl>
      <w:tblPr>
        <w:tblW w:w="7740" w:type="dxa"/>
        <w:tblInd w:w="1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220"/>
        <w:gridCol w:w="706"/>
        <w:gridCol w:w="1814"/>
      </w:tblGrid>
      <w:tr w:rsidR="00326E64" w:rsidRPr="00326E64" w14:paraId="13DAE2E7" w14:textId="77777777" w:rsidTr="00A54079">
        <w:trPr>
          <w:cantSplit/>
          <w:tblHeader/>
        </w:trPr>
        <w:tc>
          <w:tcPr>
            <w:tcW w:w="7740" w:type="dxa"/>
            <w:gridSpan w:val="3"/>
            <w:tcBorders>
              <w:top w:val="double" w:sz="6" w:space="0" w:color="auto"/>
              <w:bottom w:val="single" w:sz="6" w:space="0" w:color="auto"/>
            </w:tcBorders>
            <w:shd w:val="clear" w:color="auto" w:fill="E0E0E0"/>
          </w:tcPr>
          <w:p w14:paraId="443DD9D7"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Alternative II</w:t>
            </w:r>
          </w:p>
        </w:tc>
      </w:tr>
      <w:tr w:rsidR="00326E64" w:rsidRPr="00326E64" w14:paraId="3D3DE361" w14:textId="77777777" w:rsidTr="00A54079">
        <w:trPr>
          <w:cantSplit/>
        </w:trPr>
        <w:tc>
          <w:tcPr>
            <w:tcW w:w="5220" w:type="dxa"/>
            <w:tcBorders>
              <w:top w:val="nil"/>
              <w:bottom w:val="single" w:sz="6" w:space="0" w:color="auto"/>
            </w:tcBorders>
          </w:tcPr>
          <w:p w14:paraId="4F3F6A9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1.</w:t>
            </w:r>
            <w:r w:rsidRPr="00326E64">
              <w:rPr>
                <w:rFonts w:ascii="Times New Roman" w:eastAsia="Calibri" w:hAnsi="Times New Roman" w:cs="Times New Roman"/>
              </w:rPr>
              <w:t xml:space="preserve"> </w:t>
            </w:r>
            <w:r w:rsidRPr="00326E64">
              <w:rPr>
                <w:rFonts w:ascii="Times New Roman" w:eastAsia="Calibri" w:hAnsi="Times New Roman" w:cs="Times New Roman"/>
                <w:strike/>
              </w:rPr>
              <w:t>Sum of current closure cost estimates (total of all cost estimates shown above)</w:t>
            </w:r>
          </w:p>
        </w:tc>
        <w:tc>
          <w:tcPr>
            <w:tcW w:w="2520" w:type="dxa"/>
            <w:gridSpan w:val="2"/>
            <w:tcBorders>
              <w:top w:val="nil"/>
              <w:bottom w:val="single" w:sz="6" w:space="0" w:color="auto"/>
            </w:tcBorders>
            <w:vAlign w:val="bottom"/>
          </w:tcPr>
          <w:p w14:paraId="4EE834C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5531AD89" w14:textId="77777777" w:rsidTr="00A54079">
        <w:trPr>
          <w:cantSplit/>
        </w:trPr>
        <w:tc>
          <w:tcPr>
            <w:tcW w:w="5220" w:type="dxa"/>
            <w:tcBorders>
              <w:top w:val="single" w:sz="6" w:space="0" w:color="auto"/>
              <w:bottom w:val="single" w:sz="6" w:space="0" w:color="auto"/>
            </w:tcBorders>
          </w:tcPr>
          <w:p w14:paraId="0A48CA5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2.</w:t>
            </w:r>
            <w:r w:rsidRPr="00326E64">
              <w:rPr>
                <w:rFonts w:ascii="Times New Roman" w:eastAsia="Calibri" w:hAnsi="Times New Roman" w:cs="Times New Roman"/>
              </w:rPr>
              <w:t xml:space="preserve"> </w:t>
            </w:r>
            <w:r w:rsidRPr="00326E64">
              <w:rPr>
                <w:rFonts w:ascii="Times New Roman" w:eastAsia="Calibri" w:hAnsi="Times New Roman" w:cs="Times New Roman"/>
                <w:strike/>
              </w:rPr>
              <w:t>Current bond rating of most recent issuance of this firm and name of rating service</w:t>
            </w:r>
          </w:p>
        </w:tc>
        <w:tc>
          <w:tcPr>
            <w:tcW w:w="2520" w:type="dxa"/>
            <w:gridSpan w:val="2"/>
            <w:tcBorders>
              <w:top w:val="single" w:sz="6" w:space="0" w:color="auto"/>
            </w:tcBorders>
            <w:vAlign w:val="bottom"/>
          </w:tcPr>
          <w:p w14:paraId="25875E1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___________</w:t>
            </w:r>
          </w:p>
        </w:tc>
      </w:tr>
      <w:tr w:rsidR="00326E64" w:rsidRPr="00326E64" w14:paraId="4CA9A73E" w14:textId="77777777" w:rsidTr="00A54079">
        <w:trPr>
          <w:cantSplit/>
        </w:trPr>
        <w:tc>
          <w:tcPr>
            <w:tcW w:w="5220" w:type="dxa"/>
            <w:tcBorders>
              <w:top w:val="single" w:sz="6" w:space="0" w:color="auto"/>
              <w:bottom w:val="single" w:sz="6" w:space="0" w:color="auto"/>
            </w:tcBorders>
          </w:tcPr>
          <w:p w14:paraId="6DDB536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3.</w:t>
            </w:r>
            <w:r w:rsidRPr="00326E64">
              <w:rPr>
                <w:rFonts w:ascii="Times New Roman" w:eastAsia="Calibri" w:hAnsi="Times New Roman" w:cs="Times New Roman"/>
              </w:rPr>
              <w:t xml:space="preserve"> </w:t>
            </w:r>
            <w:r w:rsidRPr="00326E64">
              <w:rPr>
                <w:rFonts w:ascii="Times New Roman" w:eastAsia="Calibri" w:hAnsi="Times New Roman" w:cs="Times New Roman"/>
                <w:strike/>
              </w:rPr>
              <w:t>Date of issuance of bond</w:t>
            </w:r>
          </w:p>
        </w:tc>
        <w:tc>
          <w:tcPr>
            <w:tcW w:w="2520" w:type="dxa"/>
            <w:gridSpan w:val="2"/>
            <w:vAlign w:val="bottom"/>
          </w:tcPr>
          <w:p w14:paraId="121BB98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___________</w:t>
            </w:r>
          </w:p>
        </w:tc>
      </w:tr>
      <w:tr w:rsidR="00326E64" w:rsidRPr="00326E64" w14:paraId="21E899AA" w14:textId="77777777" w:rsidTr="00A54079">
        <w:trPr>
          <w:cantSplit/>
        </w:trPr>
        <w:tc>
          <w:tcPr>
            <w:tcW w:w="5220" w:type="dxa"/>
            <w:tcBorders>
              <w:top w:val="single" w:sz="6" w:space="0" w:color="auto"/>
            </w:tcBorders>
          </w:tcPr>
          <w:p w14:paraId="2381D3A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4.</w:t>
            </w:r>
            <w:r w:rsidRPr="00326E64">
              <w:rPr>
                <w:rFonts w:ascii="Times New Roman" w:eastAsia="Calibri" w:hAnsi="Times New Roman" w:cs="Times New Roman"/>
              </w:rPr>
              <w:t xml:space="preserve"> </w:t>
            </w:r>
            <w:r w:rsidRPr="00326E64">
              <w:rPr>
                <w:rFonts w:ascii="Times New Roman" w:eastAsia="Calibri" w:hAnsi="Times New Roman" w:cs="Times New Roman"/>
                <w:strike/>
              </w:rPr>
              <w:t>Date of maturity of bond</w:t>
            </w:r>
          </w:p>
        </w:tc>
        <w:tc>
          <w:tcPr>
            <w:tcW w:w="2520" w:type="dxa"/>
            <w:gridSpan w:val="2"/>
            <w:vAlign w:val="bottom"/>
          </w:tcPr>
          <w:p w14:paraId="46A0CD1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___________</w:t>
            </w:r>
          </w:p>
        </w:tc>
      </w:tr>
      <w:tr w:rsidR="00326E64" w:rsidRPr="00326E64" w14:paraId="3DCC1FC5" w14:textId="77777777" w:rsidTr="00A54079">
        <w:trPr>
          <w:cantSplit/>
        </w:trPr>
        <w:tc>
          <w:tcPr>
            <w:tcW w:w="5220" w:type="dxa"/>
          </w:tcPr>
          <w:p w14:paraId="735BCBF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lastRenderedPageBreak/>
              <w:t>*5.</w:t>
            </w:r>
            <w:r w:rsidRPr="00326E64">
              <w:rPr>
                <w:rFonts w:ascii="Times New Roman" w:eastAsia="Calibri" w:hAnsi="Times New Roman" w:cs="Times New Roman"/>
              </w:rPr>
              <w:t xml:space="preserve"> </w:t>
            </w:r>
            <w:r w:rsidRPr="00326E64">
              <w:rPr>
                <w:rFonts w:ascii="Times New Roman" w:eastAsia="Calibri" w:hAnsi="Times New Roman" w:cs="Times New Roman"/>
                <w:strike/>
              </w:rPr>
              <w:t>Tangible net worth (If any portion of the closure cost estimate is included in "total liabilities" on your firm's financial statement, you may add the amount of that portion to this line.)</w:t>
            </w:r>
          </w:p>
        </w:tc>
        <w:tc>
          <w:tcPr>
            <w:tcW w:w="2520" w:type="dxa"/>
            <w:gridSpan w:val="2"/>
            <w:vAlign w:val="bottom"/>
          </w:tcPr>
          <w:p w14:paraId="23ACF8A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10A8D064" w14:textId="77777777" w:rsidTr="00A54079">
        <w:trPr>
          <w:cantSplit/>
        </w:trPr>
        <w:tc>
          <w:tcPr>
            <w:tcW w:w="5220" w:type="dxa"/>
            <w:tcBorders>
              <w:bottom w:val="single" w:sz="6" w:space="0" w:color="auto"/>
            </w:tcBorders>
          </w:tcPr>
          <w:p w14:paraId="5AEBA12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*6.</w:t>
            </w:r>
            <w:r w:rsidRPr="00326E64">
              <w:rPr>
                <w:rFonts w:ascii="Times New Roman" w:eastAsia="Calibri" w:hAnsi="Times New Roman" w:cs="Times New Roman"/>
              </w:rPr>
              <w:t xml:space="preserve"> </w:t>
            </w:r>
            <w:r w:rsidRPr="00326E64">
              <w:rPr>
                <w:rFonts w:ascii="Times New Roman" w:eastAsia="Calibri" w:hAnsi="Times New Roman" w:cs="Times New Roman"/>
                <w:strike/>
              </w:rPr>
              <w:t>Total assets in U.S. (required only if less than 90 percent of the firm's assets are located in the U.S.)</w:t>
            </w:r>
          </w:p>
        </w:tc>
        <w:tc>
          <w:tcPr>
            <w:tcW w:w="2520" w:type="dxa"/>
            <w:gridSpan w:val="2"/>
            <w:vAlign w:val="bottom"/>
          </w:tcPr>
          <w:p w14:paraId="1C9163A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1471A1DB" w14:textId="77777777" w:rsidTr="00A54079">
        <w:trPr>
          <w:cantSplit/>
        </w:trPr>
        <w:tc>
          <w:tcPr>
            <w:tcW w:w="5220" w:type="dxa"/>
            <w:tcBorders>
              <w:top w:val="single" w:sz="6" w:space="0" w:color="auto"/>
              <w:bottom w:val="single" w:sz="6" w:space="0" w:color="auto"/>
            </w:tcBorders>
          </w:tcPr>
          <w:p w14:paraId="374F542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 </w:t>
            </w:r>
          </w:p>
        </w:tc>
        <w:tc>
          <w:tcPr>
            <w:tcW w:w="706" w:type="dxa"/>
            <w:vAlign w:val="center"/>
          </w:tcPr>
          <w:p w14:paraId="795D705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YES</w:t>
            </w:r>
          </w:p>
        </w:tc>
        <w:tc>
          <w:tcPr>
            <w:tcW w:w="1814" w:type="dxa"/>
            <w:vAlign w:val="center"/>
          </w:tcPr>
          <w:p w14:paraId="10AB3DE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NO</w:t>
            </w:r>
          </w:p>
        </w:tc>
      </w:tr>
      <w:tr w:rsidR="00326E64" w:rsidRPr="00326E64" w14:paraId="04698DC3" w14:textId="77777777" w:rsidTr="00A54079">
        <w:trPr>
          <w:cantSplit/>
        </w:trPr>
        <w:tc>
          <w:tcPr>
            <w:tcW w:w="5220" w:type="dxa"/>
            <w:tcBorders>
              <w:top w:val="single" w:sz="6" w:space="0" w:color="auto"/>
              <w:bottom w:val="single" w:sz="6" w:space="0" w:color="auto"/>
            </w:tcBorders>
          </w:tcPr>
          <w:p w14:paraId="665AFC1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7.</w:t>
            </w:r>
            <w:r w:rsidRPr="00326E64">
              <w:rPr>
                <w:rFonts w:ascii="Times New Roman" w:eastAsia="Calibri" w:hAnsi="Times New Roman" w:cs="Times New Roman"/>
              </w:rPr>
              <w:t xml:space="preserve"> </w:t>
            </w:r>
            <w:r w:rsidRPr="00326E64">
              <w:rPr>
                <w:rFonts w:ascii="Times New Roman" w:eastAsia="Calibri" w:hAnsi="Times New Roman" w:cs="Times New Roman"/>
                <w:strike/>
              </w:rPr>
              <w:t>Is line 5 at least $10 million?</w:t>
            </w:r>
          </w:p>
        </w:tc>
        <w:tc>
          <w:tcPr>
            <w:tcW w:w="706" w:type="dxa"/>
            <w:vAlign w:val="bottom"/>
          </w:tcPr>
          <w:p w14:paraId="4B86CF2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w:t>
            </w:r>
          </w:p>
        </w:tc>
        <w:tc>
          <w:tcPr>
            <w:tcW w:w="1814" w:type="dxa"/>
            <w:vAlign w:val="bottom"/>
          </w:tcPr>
          <w:p w14:paraId="0DC61D9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w:t>
            </w:r>
          </w:p>
        </w:tc>
      </w:tr>
      <w:tr w:rsidR="00326E64" w:rsidRPr="00326E64" w14:paraId="20B1C239" w14:textId="77777777" w:rsidTr="00A54079">
        <w:trPr>
          <w:cantSplit/>
        </w:trPr>
        <w:tc>
          <w:tcPr>
            <w:tcW w:w="5220" w:type="dxa"/>
            <w:tcBorders>
              <w:top w:val="single" w:sz="6" w:space="0" w:color="auto"/>
            </w:tcBorders>
          </w:tcPr>
          <w:p w14:paraId="607020E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8.</w:t>
            </w:r>
            <w:r w:rsidRPr="00326E64">
              <w:rPr>
                <w:rFonts w:ascii="Times New Roman" w:eastAsia="Calibri" w:hAnsi="Times New Roman" w:cs="Times New Roman"/>
              </w:rPr>
              <w:t xml:space="preserve"> </w:t>
            </w:r>
            <w:r w:rsidRPr="00326E64">
              <w:rPr>
                <w:rFonts w:ascii="Times New Roman" w:eastAsia="Calibri" w:hAnsi="Times New Roman" w:cs="Times New Roman"/>
                <w:strike/>
              </w:rPr>
              <w:t>Is line 5 at least 6 times line 1?</w:t>
            </w:r>
          </w:p>
        </w:tc>
        <w:tc>
          <w:tcPr>
            <w:tcW w:w="706" w:type="dxa"/>
            <w:vAlign w:val="bottom"/>
          </w:tcPr>
          <w:p w14:paraId="48AACDB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w:t>
            </w:r>
          </w:p>
        </w:tc>
        <w:tc>
          <w:tcPr>
            <w:tcW w:w="1814" w:type="dxa"/>
            <w:vAlign w:val="bottom"/>
          </w:tcPr>
          <w:p w14:paraId="5BA33EE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w:t>
            </w:r>
          </w:p>
        </w:tc>
      </w:tr>
      <w:tr w:rsidR="00326E64" w:rsidRPr="00326E64" w14:paraId="338A6197" w14:textId="77777777" w:rsidTr="00A54079">
        <w:trPr>
          <w:cantSplit/>
        </w:trPr>
        <w:tc>
          <w:tcPr>
            <w:tcW w:w="5220" w:type="dxa"/>
          </w:tcPr>
          <w:p w14:paraId="5E74BA0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9.</w:t>
            </w:r>
            <w:r w:rsidRPr="00326E64">
              <w:rPr>
                <w:rFonts w:ascii="Times New Roman" w:eastAsia="Calibri" w:hAnsi="Times New Roman" w:cs="Times New Roman"/>
              </w:rPr>
              <w:t xml:space="preserve"> </w:t>
            </w:r>
            <w:r w:rsidRPr="00326E64">
              <w:rPr>
                <w:rFonts w:ascii="Times New Roman" w:eastAsia="Calibri" w:hAnsi="Times New Roman" w:cs="Times New Roman"/>
                <w:strike/>
              </w:rPr>
              <w:t>Are at least 90 percent of the firm's assets located in the U.S.? If not, complete line 10.</w:t>
            </w:r>
          </w:p>
        </w:tc>
        <w:tc>
          <w:tcPr>
            <w:tcW w:w="706" w:type="dxa"/>
            <w:vAlign w:val="bottom"/>
          </w:tcPr>
          <w:p w14:paraId="3F12918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w:t>
            </w:r>
          </w:p>
        </w:tc>
        <w:tc>
          <w:tcPr>
            <w:tcW w:w="1814" w:type="dxa"/>
            <w:vAlign w:val="bottom"/>
          </w:tcPr>
          <w:p w14:paraId="4665340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w:t>
            </w:r>
          </w:p>
        </w:tc>
      </w:tr>
      <w:tr w:rsidR="00326E64" w:rsidRPr="00326E64" w14:paraId="1161AD58" w14:textId="77777777" w:rsidTr="00A54079">
        <w:trPr>
          <w:cantSplit/>
        </w:trPr>
        <w:tc>
          <w:tcPr>
            <w:tcW w:w="5220" w:type="dxa"/>
          </w:tcPr>
          <w:p w14:paraId="5ECE9E4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10.</w:t>
            </w:r>
            <w:r w:rsidRPr="00326E64">
              <w:rPr>
                <w:rFonts w:ascii="Times New Roman" w:eastAsia="Calibri" w:hAnsi="Times New Roman" w:cs="Times New Roman"/>
              </w:rPr>
              <w:t xml:space="preserve"> </w:t>
            </w:r>
            <w:r w:rsidRPr="00326E64">
              <w:rPr>
                <w:rFonts w:ascii="Times New Roman" w:eastAsia="Calibri" w:hAnsi="Times New Roman" w:cs="Times New Roman"/>
                <w:strike/>
              </w:rPr>
              <w:t>Is line 6 at least 6 times line 1?</w:t>
            </w:r>
          </w:p>
        </w:tc>
        <w:tc>
          <w:tcPr>
            <w:tcW w:w="706" w:type="dxa"/>
            <w:vAlign w:val="bottom"/>
          </w:tcPr>
          <w:p w14:paraId="379B852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w:t>
            </w:r>
          </w:p>
        </w:tc>
        <w:tc>
          <w:tcPr>
            <w:tcW w:w="1814" w:type="dxa"/>
            <w:vAlign w:val="bottom"/>
          </w:tcPr>
          <w:p w14:paraId="6450F8B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w:t>
            </w:r>
          </w:p>
        </w:tc>
      </w:tr>
    </w:tbl>
    <w:p w14:paraId="6B43B2ED" w14:textId="77777777" w:rsidR="00326E64" w:rsidRPr="00326E64" w:rsidRDefault="00326E64" w:rsidP="00326E64">
      <w:pPr>
        <w:spacing w:line="480" w:lineRule="auto"/>
        <w:rPr>
          <w:rFonts w:ascii="Times New Roman" w:eastAsia="Calibri" w:hAnsi="Times New Roman" w:cs="Times New Roman"/>
          <w:strike/>
        </w:rPr>
      </w:pPr>
    </w:p>
    <w:p w14:paraId="1F34238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[Fill in Part C if you are using the financial test to demonstrate assurance for liability coverage and/or closure.]</w:t>
      </w:r>
    </w:p>
    <w:p w14:paraId="2E43245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PART C.</w:t>
      </w:r>
      <w:r w:rsidRPr="00326E64">
        <w:rPr>
          <w:rFonts w:ascii="Times New Roman" w:eastAsia="Calibri" w:hAnsi="Times New Roman" w:cs="Times New Roman"/>
          <w:strike/>
        </w:rPr>
        <w:tab/>
        <w:t>LIABILITY COVERAGE AND/OR CLOSURE</w:t>
      </w:r>
    </w:p>
    <w:p w14:paraId="60D60FF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[Fill in Alternative I if the criteria of LAC 33:IX.7307.E.2.h.i.(a) are used.]</w:t>
      </w:r>
    </w:p>
    <w:tbl>
      <w:tblPr>
        <w:tblW w:w="7740" w:type="dxa"/>
        <w:tblInd w:w="1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5220"/>
        <w:gridCol w:w="960"/>
        <w:gridCol w:w="1560"/>
      </w:tblGrid>
      <w:tr w:rsidR="00326E64" w:rsidRPr="00326E64" w14:paraId="098241A2" w14:textId="77777777" w:rsidTr="00A54079">
        <w:trPr>
          <w:cantSplit/>
          <w:tblHeader/>
        </w:trPr>
        <w:tc>
          <w:tcPr>
            <w:tcW w:w="7740" w:type="dxa"/>
            <w:gridSpan w:val="3"/>
            <w:tcBorders>
              <w:top w:val="double" w:sz="6" w:space="0" w:color="auto"/>
              <w:bottom w:val="single" w:sz="6" w:space="0" w:color="auto"/>
            </w:tcBorders>
            <w:shd w:val="clear" w:color="auto" w:fill="E0E0E0"/>
          </w:tcPr>
          <w:p w14:paraId="0F2E97CD"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lastRenderedPageBreak/>
              <w:t>Alternative I</w:t>
            </w:r>
          </w:p>
        </w:tc>
      </w:tr>
      <w:tr w:rsidR="00326E64" w:rsidRPr="00326E64" w14:paraId="414537F3" w14:textId="77777777" w:rsidTr="00A54079">
        <w:trPr>
          <w:cantSplit/>
        </w:trPr>
        <w:tc>
          <w:tcPr>
            <w:tcW w:w="5220" w:type="dxa"/>
            <w:tcBorders>
              <w:top w:val="nil"/>
            </w:tcBorders>
          </w:tcPr>
          <w:p w14:paraId="651C932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1.</w:t>
            </w:r>
            <w:r w:rsidRPr="00326E64">
              <w:rPr>
                <w:rFonts w:ascii="Times New Roman" w:eastAsia="Calibri" w:hAnsi="Times New Roman" w:cs="Times New Roman"/>
              </w:rPr>
              <w:t xml:space="preserve"> </w:t>
            </w:r>
            <w:r w:rsidRPr="00326E64">
              <w:rPr>
                <w:rFonts w:ascii="Times New Roman" w:eastAsia="Calibri" w:hAnsi="Times New Roman" w:cs="Times New Roman"/>
                <w:strike/>
              </w:rPr>
              <w:t>Sum of current closure cost estimates (total of all cost estimates listed above)</w:t>
            </w:r>
          </w:p>
        </w:tc>
        <w:tc>
          <w:tcPr>
            <w:tcW w:w="2520" w:type="dxa"/>
            <w:gridSpan w:val="2"/>
            <w:tcBorders>
              <w:top w:val="nil"/>
            </w:tcBorders>
            <w:vAlign w:val="bottom"/>
          </w:tcPr>
          <w:p w14:paraId="14454A6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50AF1B02" w14:textId="77777777" w:rsidTr="00A54079">
        <w:trPr>
          <w:cantSplit/>
        </w:trPr>
        <w:tc>
          <w:tcPr>
            <w:tcW w:w="5220" w:type="dxa"/>
          </w:tcPr>
          <w:p w14:paraId="178044E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2.</w:t>
            </w:r>
            <w:r w:rsidRPr="00326E64">
              <w:rPr>
                <w:rFonts w:ascii="Times New Roman" w:eastAsia="Calibri" w:hAnsi="Times New Roman" w:cs="Times New Roman"/>
              </w:rPr>
              <w:t xml:space="preserve"> </w:t>
            </w:r>
            <w:r w:rsidRPr="00326E64">
              <w:rPr>
                <w:rFonts w:ascii="Times New Roman" w:eastAsia="Calibri" w:hAnsi="Times New Roman" w:cs="Times New Roman"/>
                <w:strike/>
              </w:rPr>
              <w:t>Amount of annual aggregate liability coverage to be demonstrated</w:t>
            </w:r>
          </w:p>
        </w:tc>
        <w:tc>
          <w:tcPr>
            <w:tcW w:w="2520" w:type="dxa"/>
            <w:gridSpan w:val="2"/>
            <w:vAlign w:val="bottom"/>
          </w:tcPr>
          <w:p w14:paraId="2EDF899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18968B94" w14:textId="77777777" w:rsidTr="00A54079">
        <w:trPr>
          <w:cantSplit/>
        </w:trPr>
        <w:tc>
          <w:tcPr>
            <w:tcW w:w="5220" w:type="dxa"/>
          </w:tcPr>
          <w:p w14:paraId="68AC06C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3.</w:t>
            </w:r>
            <w:r w:rsidRPr="00326E64">
              <w:rPr>
                <w:rFonts w:ascii="Times New Roman" w:eastAsia="Calibri" w:hAnsi="Times New Roman" w:cs="Times New Roman"/>
              </w:rPr>
              <w:t xml:space="preserve"> </w:t>
            </w:r>
            <w:r w:rsidRPr="00326E64">
              <w:rPr>
                <w:rFonts w:ascii="Times New Roman" w:eastAsia="Calibri" w:hAnsi="Times New Roman" w:cs="Times New Roman"/>
                <w:strike/>
              </w:rPr>
              <w:t>Sum of lines 1 and 2</w:t>
            </w:r>
          </w:p>
        </w:tc>
        <w:tc>
          <w:tcPr>
            <w:tcW w:w="2520" w:type="dxa"/>
            <w:gridSpan w:val="2"/>
            <w:vAlign w:val="bottom"/>
          </w:tcPr>
          <w:p w14:paraId="2A8DAF9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5252E4B9" w14:textId="77777777" w:rsidTr="00A54079">
        <w:trPr>
          <w:cantSplit/>
        </w:trPr>
        <w:tc>
          <w:tcPr>
            <w:tcW w:w="5220" w:type="dxa"/>
          </w:tcPr>
          <w:p w14:paraId="62755E1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*4.</w:t>
            </w:r>
            <w:r w:rsidRPr="00326E64">
              <w:rPr>
                <w:rFonts w:ascii="Times New Roman" w:eastAsia="Calibri" w:hAnsi="Times New Roman" w:cs="Times New Roman"/>
              </w:rPr>
              <w:t xml:space="preserve"> </w:t>
            </w:r>
            <w:r w:rsidRPr="00326E64">
              <w:rPr>
                <w:rFonts w:ascii="Times New Roman" w:eastAsia="Calibri" w:hAnsi="Times New Roman" w:cs="Times New Roman"/>
                <w:strike/>
              </w:rPr>
              <w:t>Total liabilities (If any portion of your closure cost estimates is included in your "total liabilities" in your firm's financial statements, you may deduct that portion from this line and add that amount to lines 5 and 6.)</w:t>
            </w:r>
          </w:p>
        </w:tc>
        <w:tc>
          <w:tcPr>
            <w:tcW w:w="2520" w:type="dxa"/>
            <w:gridSpan w:val="2"/>
            <w:vAlign w:val="bottom"/>
          </w:tcPr>
          <w:p w14:paraId="4BA69FF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2B42021E" w14:textId="77777777" w:rsidTr="00A54079">
        <w:trPr>
          <w:cantSplit/>
          <w:trHeight w:val="246"/>
        </w:trPr>
        <w:tc>
          <w:tcPr>
            <w:tcW w:w="5220" w:type="dxa"/>
          </w:tcPr>
          <w:p w14:paraId="511D76E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5.</w:t>
            </w:r>
            <w:r w:rsidRPr="00326E64">
              <w:rPr>
                <w:rFonts w:ascii="Times New Roman" w:eastAsia="Calibri" w:hAnsi="Times New Roman" w:cs="Times New Roman"/>
              </w:rPr>
              <w:t xml:space="preserve"> </w:t>
            </w:r>
            <w:r w:rsidRPr="00326E64">
              <w:rPr>
                <w:rFonts w:ascii="Times New Roman" w:eastAsia="Calibri" w:hAnsi="Times New Roman" w:cs="Times New Roman"/>
                <w:strike/>
              </w:rPr>
              <w:t>Tangible net worth</w:t>
            </w:r>
          </w:p>
        </w:tc>
        <w:tc>
          <w:tcPr>
            <w:tcW w:w="2520" w:type="dxa"/>
            <w:gridSpan w:val="2"/>
            <w:vAlign w:val="bottom"/>
          </w:tcPr>
          <w:p w14:paraId="72686D9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065EFD2D" w14:textId="77777777" w:rsidTr="00A54079">
        <w:trPr>
          <w:cantSplit/>
        </w:trPr>
        <w:tc>
          <w:tcPr>
            <w:tcW w:w="5220" w:type="dxa"/>
          </w:tcPr>
          <w:p w14:paraId="1E5809E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6.</w:t>
            </w:r>
            <w:r w:rsidRPr="00326E64">
              <w:rPr>
                <w:rFonts w:ascii="Times New Roman" w:eastAsia="Calibri" w:hAnsi="Times New Roman" w:cs="Times New Roman"/>
              </w:rPr>
              <w:t xml:space="preserve"> </w:t>
            </w:r>
            <w:r w:rsidRPr="00326E64">
              <w:rPr>
                <w:rFonts w:ascii="Times New Roman" w:eastAsia="Calibri" w:hAnsi="Times New Roman" w:cs="Times New Roman"/>
                <w:strike/>
              </w:rPr>
              <w:t>Net worth</w:t>
            </w:r>
          </w:p>
        </w:tc>
        <w:tc>
          <w:tcPr>
            <w:tcW w:w="2520" w:type="dxa"/>
            <w:gridSpan w:val="2"/>
            <w:vAlign w:val="bottom"/>
          </w:tcPr>
          <w:p w14:paraId="32807D9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7CFB4304" w14:textId="77777777" w:rsidTr="00A54079">
        <w:trPr>
          <w:cantSplit/>
        </w:trPr>
        <w:tc>
          <w:tcPr>
            <w:tcW w:w="5220" w:type="dxa"/>
            <w:tcBorders>
              <w:bottom w:val="single" w:sz="6" w:space="0" w:color="auto"/>
            </w:tcBorders>
          </w:tcPr>
          <w:p w14:paraId="0523495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7.</w:t>
            </w:r>
            <w:r w:rsidRPr="00326E64">
              <w:rPr>
                <w:rFonts w:ascii="Times New Roman" w:eastAsia="Calibri" w:hAnsi="Times New Roman" w:cs="Times New Roman"/>
              </w:rPr>
              <w:t xml:space="preserve"> </w:t>
            </w:r>
            <w:r w:rsidRPr="00326E64">
              <w:rPr>
                <w:rFonts w:ascii="Times New Roman" w:eastAsia="Calibri" w:hAnsi="Times New Roman" w:cs="Times New Roman"/>
                <w:strike/>
              </w:rPr>
              <w:t>Current assets</w:t>
            </w:r>
          </w:p>
        </w:tc>
        <w:tc>
          <w:tcPr>
            <w:tcW w:w="2520" w:type="dxa"/>
            <w:gridSpan w:val="2"/>
            <w:tcBorders>
              <w:bottom w:val="single" w:sz="6" w:space="0" w:color="auto"/>
            </w:tcBorders>
            <w:vAlign w:val="bottom"/>
          </w:tcPr>
          <w:p w14:paraId="35C2607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7F23F903" w14:textId="77777777" w:rsidTr="00A54079">
        <w:trPr>
          <w:cantSplit/>
        </w:trPr>
        <w:tc>
          <w:tcPr>
            <w:tcW w:w="5220" w:type="dxa"/>
            <w:tcBorders>
              <w:top w:val="single" w:sz="6" w:space="0" w:color="auto"/>
              <w:bottom w:val="single" w:sz="6" w:space="0" w:color="auto"/>
            </w:tcBorders>
          </w:tcPr>
          <w:p w14:paraId="4E46DA7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8.</w:t>
            </w:r>
            <w:r w:rsidRPr="00326E64">
              <w:rPr>
                <w:rFonts w:ascii="Times New Roman" w:eastAsia="Calibri" w:hAnsi="Times New Roman" w:cs="Times New Roman"/>
              </w:rPr>
              <w:t xml:space="preserve"> </w:t>
            </w:r>
            <w:r w:rsidRPr="00326E64">
              <w:rPr>
                <w:rFonts w:ascii="Times New Roman" w:eastAsia="Calibri" w:hAnsi="Times New Roman" w:cs="Times New Roman"/>
                <w:strike/>
              </w:rPr>
              <w:t>Current liabilities</w:t>
            </w:r>
          </w:p>
        </w:tc>
        <w:tc>
          <w:tcPr>
            <w:tcW w:w="2520" w:type="dxa"/>
            <w:gridSpan w:val="2"/>
            <w:tcBorders>
              <w:top w:val="single" w:sz="6" w:space="0" w:color="auto"/>
              <w:bottom w:val="single" w:sz="6" w:space="0" w:color="auto"/>
            </w:tcBorders>
            <w:vAlign w:val="bottom"/>
          </w:tcPr>
          <w:p w14:paraId="0F38551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785A7B77" w14:textId="77777777" w:rsidTr="00A54079">
        <w:trPr>
          <w:cantSplit/>
        </w:trPr>
        <w:tc>
          <w:tcPr>
            <w:tcW w:w="5220" w:type="dxa"/>
            <w:tcBorders>
              <w:top w:val="single" w:sz="6" w:space="0" w:color="auto"/>
            </w:tcBorders>
          </w:tcPr>
          <w:p w14:paraId="2214DCC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9.</w:t>
            </w:r>
            <w:r w:rsidRPr="00326E64">
              <w:rPr>
                <w:rFonts w:ascii="Times New Roman" w:eastAsia="Calibri" w:hAnsi="Times New Roman" w:cs="Times New Roman"/>
              </w:rPr>
              <w:t xml:space="preserve"> </w:t>
            </w:r>
            <w:r w:rsidRPr="00326E64">
              <w:rPr>
                <w:rFonts w:ascii="Times New Roman" w:eastAsia="Calibri" w:hAnsi="Times New Roman" w:cs="Times New Roman"/>
                <w:strike/>
              </w:rPr>
              <w:t>The sum of net income plus depreciation,   depletion, and amortization</w:t>
            </w:r>
          </w:p>
        </w:tc>
        <w:tc>
          <w:tcPr>
            <w:tcW w:w="2520" w:type="dxa"/>
            <w:gridSpan w:val="2"/>
            <w:tcBorders>
              <w:top w:val="single" w:sz="6" w:space="0" w:color="auto"/>
            </w:tcBorders>
            <w:vAlign w:val="bottom"/>
          </w:tcPr>
          <w:p w14:paraId="1565AAE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2C678E16" w14:textId="77777777" w:rsidTr="00A54079">
        <w:trPr>
          <w:cantSplit/>
        </w:trPr>
        <w:tc>
          <w:tcPr>
            <w:tcW w:w="5220" w:type="dxa"/>
          </w:tcPr>
          <w:p w14:paraId="423F87B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*10.</w:t>
            </w:r>
            <w:r w:rsidRPr="00326E64">
              <w:rPr>
                <w:rFonts w:ascii="Times New Roman" w:eastAsia="Calibri" w:hAnsi="Times New Roman" w:cs="Times New Roman"/>
              </w:rPr>
              <w:t xml:space="preserve"> </w:t>
            </w:r>
            <w:r w:rsidRPr="00326E64">
              <w:rPr>
                <w:rFonts w:ascii="Times New Roman" w:eastAsia="Calibri" w:hAnsi="Times New Roman" w:cs="Times New Roman"/>
                <w:strike/>
              </w:rPr>
              <w:t>Total assets in the U.S. (required only if less than 90 percent of assets are located in the U.S.)</w:t>
            </w:r>
          </w:p>
        </w:tc>
        <w:tc>
          <w:tcPr>
            <w:tcW w:w="2520" w:type="dxa"/>
            <w:gridSpan w:val="2"/>
            <w:vAlign w:val="bottom"/>
          </w:tcPr>
          <w:p w14:paraId="1A46E26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714370C9" w14:textId="77777777" w:rsidTr="00A54079">
        <w:trPr>
          <w:cantSplit/>
        </w:trPr>
        <w:tc>
          <w:tcPr>
            <w:tcW w:w="5220" w:type="dxa"/>
          </w:tcPr>
          <w:p w14:paraId="1BC2BC9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 </w:t>
            </w:r>
          </w:p>
        </w:tc>
        <w:tc>
          <w:tcPr>
            <w:tcW w:w="960" w:type="dxa"/>
            <w:vAlign w:val="center"/>
          </w:tcPr>
          <w:p w14:paraId="18C96AC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YES</w:t>
            </w:r>
          </w:p>
        </w:tc>
        <w:tc>
          <w:tcPr>
            <w:tcW w:w="1560" w:type="dxa"/>
            <w:vAlign w:val="center"/>
          </w:tcPr>
          <w:p w14:paraId="02116B0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NO</w:t>
            </w:r>
          </w:p>
        </w:tc>
      </w:tr>
      <w:tr w:rsidR="00326E64" w:rsidRPr="00326E64" w14:paraId="6D6E0E8A" w14:textId="77777777" w:rsidTr="00A54079">
        <w:trPr>
          <w:cantSplit/>
        </w:trPr>
        <w:tc>
          <w:tcPr>
            <w:tcW w:w="5220" w:type="dxa"/>
          </w:tcPr>
          <w:p w14:paraId="434AC44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11.</w:t>
            </w:r>
            <w:r w:rsidRPr="00326E64">
              <w:rPr>
                <w:rFonts w:ascii="Times New Roman" w:eastAsia="Calibri" w:hAnsi="Times New Roman" w:cs="Times New Roman"/>
              </w:rPr>
              <w:t xml:space="preserve"> </w:t>
            </w:r>
            <w:r w:rsidRPr="00326E64">
              <w:rPr>
                <w:rFonts w:ascii="Times New Roman" w:eastAsia="Calibri" w:hAnsi="Times New Roman" w:cs="Times New Roman"/>
                <w:strike/>
              </w:rPr>
              <w:t>Is line 5 at least $10 million?</w:t>
            </w:r>
          </w:p>
        </w:tc>
        <w:tc>
          <w:tcPr>
            <w:tcW w:w="960" w:type="dxa"/>
            <w:vAlign w:val="bottom"/>
          </w:tcPr>
          <w:p w14:paraId="2658F94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w:t>
            </w:r>
          </w:p>
        </w:tc>
        <w:tc>
          <w:tcPr>
            <w:tcW w:w="1560" w:type="dxa"/>
            <w:vAlign w:val="bottom"/>
          </w:tcPr>
          <w:p w14:paraId="3E5F69E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w:t>
            </w:r>
          </w:p>
        </w:tc>
      </w:tr>
      <w:tr w:rsidR="00326E64" w:rsidRPr="00326E64" w14:paraId="7D7794B9" w14:textId="77777777" w:rsidTr="00A54079">
        <w:trPr>
          <w:cantSplit/>
        </w:trPr>
        <w:tc>
          <w:tcPr>
            <w:tcW w:w="5220" w:type="dxa"/>
          </w:tcPr>
          <w:p w14:paraId="3230C59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12.</w:t>
            </w:r>
            <w:r w:rsidRPr="00326E64">
              <w:rPr>
                <w:rFonts w:ascii="Times New Roman" w:eastAsia="Calibri" w:hAnsi="Times New Roman" w:cs="Times New Roman"/>
              </w:rPr>
              <w:t xml:space="preserve"> </w:t>
            </w:r>
            <w:r w:rsidRPr="00326E64">
              <w:rPr>
                <w:rFonts w:ascii="Times New Roman" w:eastAsia="Calibri" w:hAnsi="Times New Roman" w:cs="Times New Roman"/>
                <w:strike/>
              </w:rPr>
              <w:t>Is line 5 at least 6 times line 3?</w:t>
            </w:r>
          </w:p>
        </w:tc>
        <w:tc>
          <w:tcPr>
            <w:tcW w:w="960" w:type="dxa"/>
            <w:vAlign w:val="bottom"/>
          </w:tcPr>
          <w:p w14:paraId="1419C6B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w:t>
            </w:r>
          </w:p>
        </w:tc>
        <w:tc>
          <w:tcPr>
            <w:tcW w:w="1560" w:type="dxa"/>
            <w:vAlign w:val="bottom"/>
          </w:tcPr>
          <w:p w14:paraId="3BE93A8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w:t>
            </w:r>
          </w:p>
        </w:tc>
      </w:tr>
      <w:tr w:rsidR="00326E64" w:rsidRPr="00326E64" w14:paraId="71942E05" w14:textId="77777777" w:rsidTr="00A54079">
        <w:trPr>
          <w:cantSplit/>
        </w:trPr>
        <w:tc>
          <w:tcPr>
            <w:tcW w:w="5220" w:type="dxa"/>
          </w:tcPr>
          <w:p w14:paraId="6F91802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lastRenderedPageBreak/>
              <w:t>*13.</w:t>
            </w:r>
            <w:r w:rsidRPr="00326E64">
              <w:rPr>
                <w:rFonts w:ascii="Times New Roman" w:eastAsia="Calibri" w:hAnsi="Times New Roman" w:cs="Times New Roman"/>
              </w:rPr>
              <w:t xml:space="preserve"> </w:t>
            </w:r>
            <w:r w:rsidRPr="00326E64">
              <w:rPr>
                <w:rFonts w:ascii="Times New Roman" w:eastAsia="Calibri" w:hAnsi="Times New Roman" w:cs="Times New Roman"/>
                <w:strike/>
              </w:rPr>
              <w:t>Are at least 90 percent of assets located in the U.S.? If not, complete line 14.</w:t>
            </w:r>
          </w:p>
        </w:tc>
        <w:tc>
          <w:tcPr>
            <w:tcW w:w="960" w:type="dxa"/>
            <w:vAlign w:val="bottom"/>
          </w:tcPr>
          <w:p w14:paraId="3BEF520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w:t>
            </w:r>
          </w:p>
        </w:tc>
        <w:tc>
          <w:tcPr>
            <w:tcW w:w="1560" w:type="dxa"/>
            <w:vAlign w:val="bottom"/>
          </w:tcPr>
          <w:p w14:paraId="672AD75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w:t>
            </w:r>
          </w:p>
        </w:tc>
      </w:tr>
      <w:tr w:rsidR="00326E64" w:rsidRPr="00326E64" w14:paraId="7C0388F8" w14:textId="77777777" w:rsidTr="00A54079">
        <w:trPr>
          <w:cantSplit/>
        </w:trPr>
        <w:tc>
          <w:tcPr>
            <w:tcW w:w="5220" w:type="dxa"/>
          </w:tcPr>
          <w:p w14:paraId="5CB67AF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  14. Is line 10 at least 6 times line 3?</w:t>
            </w:r>
          </w:p>
        </w:tc>
        <w:tc>
          <w:tcPr>
            <w:tcW w:w="960" w:type="dxa"/>
            <w:vAlign w:val="bottom"/>
          </w:tcPr>
          <w:p w14:paraId="5F98270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w:t>
            </w:r>
          </w:p>
        </w:tc>
        <w:tc>
          <w:tcPr>
            <w:tcW w:w="1560" w:type="dxa"/>
            <w:vAlign w:val="bottom"/>
          </w:tcPr>
          <w:p w14:paraId="6B1E147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w:t>
            </w:r>
          </w:p>
        </w:tc>
      </w:tr>
    </w:tbl>
    <w:p w14:paraId="2EAA826A" w14:textId="77777777" w:rsidR="00326E64" w:rsidRPr="00326E64" w:rsidRDefault="00326E64" w:rsidP="00326E64">
      <w:pPr>
        <w:spacing w:line="480" w:lineRule="auto"/>
        <w:rPr>
          <w:rFonts w:ascii="Times New Roman" w:eastAsia="Calibri" w:hAnsi="Times New Roman" w:cs="Times New Roman"/>
          <w:strike/>
        </w:rPr>
      </w:pPr>
    </w:p>
    <w:p w14:paraId="5E59DAC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[Fill in Alternative II if the criteria of LAC 33:IX.7307.E.2.h.i.(b) are used.]</w:t>
      </w:r>
    </w:p>
    <w:tbl>
      <w:tblPr>
        <w:tblW w:w="7740" w:type="dxa"/>
        <w:tblInd w:w="1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5220"/>
        <w:gridCol w:w="900"/>
        <w:gridCol w:w="1620"/>
      </w:tblGrid>
      <w:tr w:rsidR="00326E64" w:rsidRPr="00326E64" w14:paraId="598575FD" w14:textId="77777777" w:rsidTr="00A54079">
        <w:trPr>
          <w:cantSplit/>
          <w:tblHeader/>
        </w:trPr>
        <w:tc>
          <w:tcPr>
            <w:tcW w:w="7740" w:type="dxa"/>
            <w:gridSpan w:val="3"/>
            <w:tcBorders>
              <w:top w:val="double" w:sz="6" w:space="0" w:color="auto"/>
              <w:bottom w:val="single" w:sz="6" w:space="0" w:color="auto"/>
            </w:tcBorders>
            <w:shd w:val="pct12" w:color="auto" w:fill="FFFFFF"/>
          </w:tcPr>
          <w:p w14:paraId="382AB599" w14:textId="77777777" w:rsidR="00326E64" w:rsidRPr="00326E64" w:rsidRDefault="00326E64" w:rsidP="00326E64">
            <w:pPr>
              <w:spacing w:line="480" w:lineRule="auto"/>
              <w:rPr>
                <w:rFonts w:ascii="Times New Roman" w:eastAsia="Calibri" w:hAnsi="Times New Roman" w:cs="Times New Roman"/>
                <w:b/>
                <w:strike/>
              </w:rPr>
            </w:pPr>
            <w:r w:rsidRPr="00326E64">
              <w:rPr>
                <w:rFonts w:ascii="Times New Roman" w:eastAsia="Calibri" w:hAnsi="Times New Roman" w:cs="Times New Roman"/>
                <w:b/>
                <w:strike/>
              </w:rPr>
              <w:t>Alternative II</w:t>
            </w:r>
          </w:p>
        </w:tc>
      </w:tr>
      <w:tr w:rsidR="00326E64" w:rsidRPr="00326E64" w14:paraId="3E0C33E8" w14:textId="77777777" w:rsidTr="00A54079">
        <w:trPr>
          <w:cantSplit/>
        </w:trPr>
        <w:tc>
          <w:tcPr>
            <w:tcW w:w="5220" w:type="dxa"/>
            <w:tcBorders>
              <w:top w:val="single" w:sz="6" w:space="0" w:color="auto"/>
              <w:bottom w:val="single" w:sz="6" w:space="0" w:color="auto"/>
            </w:tcBorders>
          </w:tcPr>
          <w:p w14:paraId="700C48B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1.</w:t>
            </w:r>
            <w:r w:rsidRPr="00326E64">
              <w:rPr>
                <w:rFonts w:ascii="Times New Roman" w:eastAsia="Calibri" w:hAnsi="Times New Roman" w:cs="Times New Roman"/>
              </w:rPr>
              <w:t xml:space="preserve"> </w:t>
            </w:r>
            <w:r w:rsidRPr="00326E64">
              <w:rPr>
                <w:rFonts w:ascii="Times New Roman" w:eastAsia="Calibri" w:hAnsi="Times New Roman" w:cs="Times New Roman"/>
                <w:strike/>
              </w:rPr>
              <w:t>Sum of current closure cost estimates (total of all cost estimates listed above)</w:t>
            </w:r>
          </w:p>
        </w:tc>
        <w:tc>
          <w:tcPr>
            <w:tcW w:w="2520" w:type="dxa"/>
            <w:gridSpan w:val="2"/>
            <w:tcBorders>
              <w:top w:val="single" w:sz="6" w:space="0" w:color="auto"/>
              <w:bottom w:val="single" w:sz="6" w:space="0" w:color="auto"/>
            </w:tcBorders>
            <w:vAlign w:val="bottom"/>
          </w:tcPr>
          <w:p w14:paraId="224EA49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162CC514" w14:textId="77777777" w:rsidTr="00A54079">
        <w:trPr>
          <w:cantSplit/>
        </w:trPr>
        <w:tc>
          <w:tcPr>
            <w:tcW w:w="5220" w:type="dxa"/>
            <w:tcBorders>
              <w:top w:val="single" w:sz="6" w:space="0" w:color="auto"/>
              <w:bottom w:val="single" w:sz="6" w:space="0" w:color="auto"/>
            </w:tcBorders>
          </w:tcPr>
          <w:p w14:paraId="75300DF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2.</w:t>
            </w:r>
            <w:r w:rsidRPr="00326E64">
              <w:rPr>
                <w:rFonts w:ascii="Times New Roman" w:eastAsia="Calibri" w:hAnsi="Times New Roman" w:cs="Times New Roman"/>
              </w:rPr>
              <w:t xml:space="preserve"> </w:t>
            </w:r>
            <w:r w:rsidRPr="00326E64">
              <w:rPr>
                <w:rFonts w:ascii="Times New Roman" w:eastAsia="Calibri" w:hAnsi="Times New Roman" w:cs="Times New Roman"/>
                <w:strike/>
              </w:rPr>
              <w:t>Amount of annual aggregate liability coverage to be demonstrated</w:t>
            </w:r>
          </w:p>
        </w:tc>
        <w:tc>
          <w:tcPr>
            <w:tcW w:w="2520" w:type="dxa"/>
            <w:gridSpan w:val="2"/>
            <w:tcBorders>
              <w:top w:val="single" w:sz="6" w:space="0" w:color="auto"/>
              <w:bottom w:val="single" w:sz="6" w:space="0" w:color="auto"/>
            </w:tcBorders>
            <w:vAlign w:val="bottom"/>
          </w:tcPr>
          <w:p w14:paraId="4F94AFE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7020A4D0" w14:textId="77777777" w:rsidTr="00A54079">
        <w:trPr>
          <w:cantSplit/>
        </w:trPr>
        <w:tc>
          <w:tcPr>
            <w:tcW w:w="5220" w:type="dxa"/>
            <w:tcBorders>
              <w:top w:val="single" w:sz="6" w:space="0" w:color="auto"/>
            </w:tcBorders>
          </w:tcPr>
          <w:p w14:paraId="4E913E6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3.</w:t>
            </w:r>
            <w:r w:rsidRPr="00326E64">
              <w:rPr>
                <w:rFonts w:ascii="Times New Roman" w:eastAsia="Calibri" w:hAnsi="Times New Roman" w:cs="Times New Roman"/>
              </w:rPr>
              <w:t xml:space="preserve"> </w:t>
            </w:r>
            <w:r w:rsidRPr="00326E64">
              <w:rPr>
                <w:rFonts w:ascii="Times New Roman" w:eastAsia="Calibri" w:hAnsi="Times New Roman" w:cs="Times New Roman"/>
                <w:strike/>
              </w:rPr>
              <w:t>Sum of lines 1 and 2</w:t>
            </w:r>
          </w:p>
        </w:tc>
        <w:tc>
          <w:tcPr>
            <w:tcW w:w="2520" w:type="dxa"/>
            <w:gridSpan w:val="2"/>
            <w:tcBorders>
              <w:top w:val="single" w:sz="6" w:space="0" w:color="auto"/>
            </w:tcBorders>
            <w:vAlign w:val="bottom"/>
          </w:tcPr>
          <w:p w14:paraId="35148AE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7C61856A" w14:textId="77777777" w:rsidTr="00A54079">
        <w:trPr>
          <w:cantSplit/>
        </w:trPr>
        <w:tc>
          <w:tcPr>
            <w:tcW w:w="5220" w:type="dxa"/>
          </w:tcPr>
          <w:p w14:paraId="2F5FBFE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4.</w:t>
            </w:r>
            <w:r w:rsidRPr="00326E64">
              <w:rPr>
                <w:rFonts w:ascii="Times New Roman" w:eastAsia="Calibri" w:hAnsi="Times New Roman" w:cs="Times New Roman"/>
              </w:rPr>
              <w:t xml:space="preserve"> </w:t>
            </w:r>
            <w:r w:rsidRPr="00326E64">
              <w:rPr>
                <w:rFonts w:ascii="Times New Roman" w:eastAsia="Calibri" w:hAnsi="Times New Roman" w:cs="Times New Roman"/>
                <w:strike/>
              </w:rPr>
              <w:t>Current bond rating of most recent issuance of this firm and name of rating service</w:t>
            </w:r>
          </w:p>
        </w:tc>
        <w:tc>
          <w:tcPr>
            <w:tcW w:w="2520" w:type="dxa"/>
            <w:gridSpan w:val="2"/>
            <w:vAlign w:val="bottom"/>
          </w:tcPr>
          <w:p w14:paraId="075253B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___________</w:t>
            </w:r>
          </w:p>
        </w:tc>
      </w:tr>
      <w:tr w:rsidR="00326E64" w:rsidRPr="00326E64" w14:paraId="3C7CAA83" w14:textId="77777777" w:rsidTr="00A54079">
        <w:trPr>
          <w:cantSplit/>
        </w:trPr>
        <w:tc>
          <w:tcPr>
            <w:tcW w:w="5220" w:type="dxa"/>
          </w:tcPr>
          <w:p w14:paraId="444824B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5.</w:t>
            </w:r>
            <w:r w:rsidRPr="00326E64">
              <w:rPr>
                <w:rFonts w:ascii="Times New Roman" w:eastAsia="Calibri" w:hAnsi="Times New Roman" w:cs="Times New Roman"/>
              </w:rPr>
              <w:t xml:space="preserve"> </w:t>
            </w:r>
            <w:r w:rsidRPr="00326E64">
              <w:rPr>
                <w:rFonts w:ascii="Times New Roman" w:eastAsia="Calibri" w:hAnsi="Times New Roman" w:cs="Times New Roman"/>
                <w:strike/>
              </w:rPr>
              <w:t>Date of issuance of bond</w:t>
            </w:r>
          </w:p>
        </w:tc>
        <w:tc>
          <w:tcPr>
            <w:tcW w:w="2520" w:type="dxa"/>
            <w:gridSpan w:val="2"/>
            <w:vAlign w:val="bottom"/>
          </w:tcPr>
          <w:p w14:paraId="1EB5B8B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___________</w:t>
            </w:r>
          </w:p>
        </w:tc>
      </w:tr>
      <w:tr w:rsidR="00326E64" w:rsidRPr="00326E64" w14:paraId="6C9E0E93" w14:textId="77777777" w:rsidTr="00A54079">
        <w:trPr>
          <w:cantSplit/>
        </w:trPr>
        <w:tc>
          <w:tcPr>
            <w:tcW w:w="5220" w:type="dxa"/>
          </w:tcPr>
          <w:p w14:paraId="15A62F7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6.</w:t>
            </w:r>
            <w:r w:rsidRPr="00326E64">
              <w:rPr>
                <w:rFonts w:ascii="Times New Roman" w:eastAsia="Calibri" w:hAnsi="Times New Roman" w:cs="Times New Roman"/>
              </w:rPr>
              <w:t xml:space="preserve"> </w:t>
            </w:r>
            <w:r w:rsidRPr="00326E64">
              <w:rPr>
                <w:rFonts w:ascii="Times New Roman" w:eastAsia="Calibri" w:hAnsi="Times New Roman" w:cs="Times New Roman"/>
                <w:strike/>
              </w:rPr>
              <w:t>Date of maturity of bond</w:t>
            </w:r>
          </w:p>
        </w:tc>
        <w:tc>
          <w:tcPr>
            <w:tcW w:w="2520" w:type="dxa"/>
            <w:gridSpan w:val="2"/>
            <w:vAlign w:val="bottom"/>
          </w:tcPr>
          <w:p w14:paraId="2378CEB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___________</w:t>
            </w:r>
          </w:p>
        </w:tc>
      </w:tr>
      <w:tr w:rsidR="00326E64" w:rsidRPr="00326E64" w14:paraId="11DCBEFD" w14:textId="77777777" w:rsidTr="00A54079">
        <w:trPr>
          <w:cantSplit/>
        </w:trPr>
        <w:tc>
          <w:tcPr>
            <w:tcW w:w="5220" w:type="dxa"/>
          </w:tcPr>
          <w:p w14:paraId="06A2190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*7.</w:t>
            </w:r>
            <w:r w:rsidRPr="00326E64">
              <w:rPr>
                <w:rFonts w:ascii="Times New Roman" w:eastAsia="Calibri" w:hAnsi="Times New Roman" w:cs="Times New Roman"/>
              </w:rPr>
              <w:t xml:space="preserve"> </w:t>
            </w:r>
            <w:r w:rsidRPr="00326E64">
              <w:rPr>
                <w:rFonts w:ascii="Times New Roman" w:eastAsia="Calibri" w:hAnsi="Times New Roman" w:cs="Times New Roman"/>
                <w:strike/>
              </w:rPr>
              <w:t>Tangible net worth (If any portion of the closure cost estimates is included in the "total liabilities" in your firm's financial statements, you may add that portion to this line.)</w:t>
            </w:r>
          </w:p>
        </w:tc>
        <w:tc>
          <w:tcPr>
            <w:tcW w:w="2520" w:type="dxa"/>
            <w:gridSpan w:val="2"/>
            <w:vAlign w:val="bottom"/>
          </w:tcPr>
          <w:p w14:paraId="13A73D0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566CEEF2" w14:textId="77777777" w:rsidTr="00A54079">
        <w:trPr>
          <w:cantSplit/>
        </w:trPr>
        <w:tc>
          <w:tcPr>
            <w:tcW w:w="5220" w:type="dxa"/>
          </w:tcPr>
          <w:p w14:paraId="5C979F0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*8.</w:t>
            </w:r>
            <w:r w:rsidRPr="00326E64">
              <w:rPr>
                <w:rFonts w:ascii="Times New Roman" w:eastAsia="Calibri" w:hAnsi="Times New Roman" w:cs="Times New Roman"/>
              </w:rPr>
              <w:t xml:space="preserve"> </w:t>
            </w:r>
            <w:r w:rsidRPr="00326E64">
              <w:rPr>
                <w:rFonts w:ascii="Times New Roman" w:eastAsia="Calibri" w:hAnsi="Times New Roman" w:cs="Times New Roman"/>
                <w:strike/>
              </w:rPr>
              <w:t>Total assets in U.S. (required only if less than 90 percent of assets are located in the U.S.)</w:t>
            </w:r>
          </w:p>
        </w:tc>
        <w:tc>
          <w:tcPr>
            <w:tcW w:w="2520" w:type="dxa"/>
            <w:gridSpan w:val="2"/>
            <w:vAlign w:val="bottom"/>
          </w:tcPr>
          <w:p w14:paraId="3FBD262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$__________</w:t>
            </w:r>
          </w:p>
        </w:tc>
      </w:tr>
      <w:tr w:rsidR="00326E64" w:rsidRPr="00326E64" w14:paraId="4F1DE3F4" w14:textId="77777777" w:rsidTr="00A54079">
        <w:trPr>
          <w:cantSplit/>
        </w:trPr>
        <w:tc>
          <w:tcPr>
            <w:tcW w:w="5220" w:type="dxa"/>
          </w:tcPr>
          <w:p w14:paraId="2C1798C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lastRenderedPageBreak/>
              <w:t xml:space="preserve"> </w:t>
            </w:r>
          </w:p>
        </w:tc>
        <w:tc>
          <w:tcPr>
            <w:tcW w:w="900" w:type="dxa"/>
            <w:vAlign w:val="center"/>
          </w:tcPr>
          <w:p w14:paraId="204CBC1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YES</w:t>
            </w:r>
          </w:p>
        </w:tc>
        <w:tc>
          <w:tcPr>
            <w:tcW w:w="1620" w:type="dxa"/>
            <w:vAlign w:val="center"/>
          </w:tcPr>
          <w:p w14:paraId="3AD9C31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NO</w:t>
            </w:r>
          </w:p>
        </w:tc>
      </w:tr>
      <w:tr w:rsidR="00326E64" w:rsidRPr="00326E64" w14:paraId="2D121D16" w14:textId="77777777" w:rsidTr="00A54079">
        <w:trPr>
          <w:cantSplit/>
        </w:trPr>
        <w:tc>
          <w:tcPr>
            <w:tcW w:w="5220" w:type="dxa"/>
          </w:tcPr>
          <w:p w14:paraId="48BEF3F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9.</w:t>
            </w:r>
            <w:r w:rsidRPr="00326E64">
              <w:rPr>
                <w:rFonts w:ascii="Times New Roman" w:eastAsia="Calibri" w:hAnsi="Times New Roman" w:cs="Times New Roman"/>
              </w:rPr>
              <w:t xml:space="preserve"> </w:t>
            </w:r>
            <w:r w:rsidRPr="00326E64">
              <w:rPr>
                <w:rFonts w:ascii="Times New Roman" w:eastAsia="Calibri" w:hAnsi="Times New Roman" w:cs="Times New Roman"/>
                <w:strike/>
              </w:rPr>
              <w:t>Is line 7 at least $10 million?</w:t>
            </w:r>
          </w:p>
        </w:tc>
        <w:tc>
          <w:tcPr>
            <w:tcW w:w="900" w:type="dxa"/>
            <w:vAlign w:val="bottom"/>
          </w:tcPr>
          <w:p w14:paraId="60A2FD6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w:t>
            </w:r>
          </w:p>
        </w:tc>
        <w:tc>
          <w:tcPr>
            <w:tcW w:w="1620" w:type="dxa"/>
            <w:vAlign w:val="bottom"/>
          </w:tcPr>
          <w:p w14:paraId="67E0907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w:t>
            </w:r>
          </w:p>
        </w:tc>
      </w:tr>
      <w:tr w:rsidR="00326E64" w:rsidRPr="00326E64" w14:paraId="15CD7981" w14:textId="77777777" w:rsidTr="00A54079">
        <w:trPr>
          <w:cantSplit/>
        </w:trPr>
        <w:tc>
          <w:tcPr>
            <w:tcW w:w="5220" w:type="dxa"/>
          </w:tcPr>
          <w:p w14:paraId="2AF2AD4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10.</w:t>
            </w:r>
            <w:r w:rsidRPr="00326E64">
              <w:rPr>
                <w:rFonts w:ascii="Times New Roman" w:eastAsia="Calibri" w:hAnsi="Times New Roman" w:cs="Times New Roman"/>
              </w:rPr>
              <w:t xml:space="preserve"> </w:t>
            </w:r>
            <w:r w:rsidRPr="00326E64">
              <w:rPr>
                <w:rFonts w:ascii="Times New Roman" w:eastAsia="Calibri" w:hAnsi="Times New Roman" w:cs="Times New Roman"/>
                <w:strike/>
              </w:rPr>
              <w:t>Is line 7 at least 6 times line 3?</w:t>
            </w:r>
          </w:p>
        </w:tc>
        <w:tc>
          <w:tcPr>
            <w:tcW w:w="900" w:type="dxa"/>
            <w:vAlign w:val="bottom"/>
          </w:tcPr>
          <w:p w14:paraId="3AED95C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w:t>
            </w:r>
          </w:p>
        </w:tc>
        <w:tc>
          <w:tcPr>
            <w:tcW w:w="1620" w:type="dxa"/>
            <w:vAlign w:val="bottom"/>
          </w:tcPr>
          <w:p w14:paraId="4797636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w:t>
            </w:r>
          </w:p>
        </w:tc>
      </w:tr>
      <w:tr w:rsidR="00326E64" w:rsidRPr="00326E64" w14:paraId="2303107F" w14:textId="77777777" w:rsidTr="00A54079">
        <w:trPr>
          <w:cantSplit/>
        </w:trPr>
        <w:tc>
          <w:tcPr>
            <w:tcW w:w="5220" w:type="dxa"/>
          </w:tcPr>
          <w:p w14:paraId="06BB12D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*11.</w:t>
            </w:r>
            <w:r w:rsidRPr="00326E64">
              <w:rPr>
                <w:rFonts w:ascii="Times New Roman" w:eastAsia="Calibri" w:hAnsi="Times New Roman" w:cs="Times New Roman"/>
              </w:rPr>
              <w:t xml:space="preserve"> </w:t>
            </w:r>
            <w:r w:rsidRPr="00326E64">
              <w:rPr>
                <w:rFonts w:ascii="Times New Roman" w:eastAsia="Calibri" w:hAnsi="Times New Roman" w:cs="Times New Roman"/>
                <w:strike/>
              </w:rPr>
              <w:t>Are at least 90 percent of assets located in the U.S.? If not, complete line 12.</w:t>
            </w:r>
          </w:p>
        </w:tc>
        <w:tc>
          <w:tcPr>
            <w:tcW w:w="900" w:type="dxa"/>
            <w:vAlign w:val="bottom"/>
          </w:tcPr>
          <w:p w14:paraId="51CEBF2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w:t>
            </w:r>
          </w:p>
        </w:tc>
        <w:tc>
          <w:tcPr>
            <w:tcW w:w="1620" w:type="dxa"/>
            <w:vAlign w:val="bottom"/>
          </w:tcPr>
          <w:p w14:paraId="038867C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w:t>
            </w:r>
          </w:p>
        </w:tc>
      </w:tr>
      <w:tr w:rsidR="00326E64" w:rsidRPr="00326E64" w14:paraId="5C87AB79" w14:textId="77777777" w:rsidTr="00A54079">
        <w:trPr>
          <w:cantSplit/>
        </w:trPr>
        <w:tc>
          <w:tcPr>
            <w:tcW w:w="5220" w:type="dxa"/>
          </w:tcPr>
          <w:p w14:paraId="479C96A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 xml:space="preserve">  </w:t>
            </w:r>
            <w:r w:rsidRPr="00326E64">
              <w:rPr>
                <w:rFonts w:ascii="Times New Roman" w:eastAsia="Calibri" w:hAnsi="Times New Roman" w:cs="Times New Roman"/>
                <w:strike/>
              </w:rPr>
              <w:t>12.</w:t>
            </w:r>
            <w:r w:rsidRPr="00326E64">
              <w:rPr>
                <w:rFonts w:ascii="Times New Roman" w:eastAsia="Calibri" w:hAnsi="Times New Roman" w:cs="Times New Roman"/>
              </w:rPr>
              <w:t xml:space="preserve"> </w:t>
            </w:r>
            <w:r w:rsidRPr="00326E64">
              <w:rPr>
                <w:rFonts w:ascii="Times New Roman" w:eastAsia="Calibri" w:hAnsi="Times New Roman" w:cs="Times New Roman"/>
                <w:strike/>
              </w:rPr>
              <w:t>Is line 8 at least 6 times line 3?</w:t>
            </w:r>
          </w:p>
        </w:tc>
        <w:tc>
          <w:tcPr>
            <w:tcW w:w="900" w:type="dxa"/>
            <w:vAlign w:val="bottom"/>
          </w:tcPr>
          <w:p w14:paraId="5D4B64B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w:t>
            </w:r>
          </w:p>
        </w:tc>
        <w:tc>
          <w:tcPr>
            <w:tcW w:w="1620" w:type="dxa"/>
            <w:vAlign w:val="bottom"/>
          </w:tcPr>
          <w:p w14:paraId="3062E21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____</w:t>
            </w:r>
          </w:p>
        </w:tc>
      </w:tr>
    </w:tbl>
    <w:p w14:paraId="5BCA201D" w14:textId="77777777" w:rsidR="00326E64" w:rsidRPr="00326E64" w:rsidRDefault="00326E64" w:rsidP="00326E64">
      <w:pPr>
        <w:spacing w:line="480" w:lineRule="auto"/>
        <w:rPr>
          <w:rFonts w:ascii="Times New Roman" w:eastAsia="Calibri" w:hAnsi="Times New Roman" w:cs="Times New Roman"/>
          <w:strike/>
        </w:rPr>
      </w:pPr>
    </w:p>
    <w:p w14:paraId="743EEC9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[The following is to be completed by all firms providing the financial test]</w:t>
      </w:r>
    </w:p>
    <w:p w14:paraId="2D07914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I hereby certify that the wording of this letter is identical to the wording specified in LAC 33:IX.7395.Appendix I.</w:t>
      </w:r>
    </w:p>
    <w:p w14:paraId="165D5FF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[Signature of chief financial officer for the firm]</w:t>
      </w:r>
    </w:p>
    <w:p w14:paraId="1737FE7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[Typed name of chief financial officer]</w:t>
      </w:r>
    </w:p>
    <w:p w14:paraId="5A29223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[Title]</w:t>
      </w:r>
    </w:p>
    <w:p w14:paraId="7712B12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[Date]</w:t>
      </w:r>
    </w:p>
    <w:p w14:paraId="232249A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J.</w:t>
      </w:r>
      <w:r w:rsidRPr="00326E64">
        <w:rPr>
          <w:rFonts w:ascii="Times New Roman" w:eastAsia="Calibri" w:hAnsi="Times New Roman" w:cs="Times New Roman"/>
          <w:strike/>
        </w:rPr>
        <w:tab/>
        <w:t>Appendix J―Corporate Guarantee</w:t>
      </w:r>
    </w:p>
    <w:p w14:paraId="75717A7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 xml:space="preserve">[Insert, as applicable: </w:t>
      </w:r>
      <w:r w:rsidRPr="00326E64">
        <w:rPr>
          <w:rFonts w:ascii="Times New Roman" w:eastAsia="Calibri" w:hAnsi="Times New Roman" w:cs="Times New Roman"/>
          <w:strike/>
        </w:rPr>
        <w:br/>
        <w:t>"COMMERCIAL PREPARER OF SEWAGE SLUDGE" or "COMMERCIAL LAND APPLIER OF BIOSOLIDS"]</w:t>
      </w:r>
    </w:p>
    <w:p w14:paraId="1D731FEA"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CORPORATE GUARANTEE FOR LIABILITY COVERAGE AND/OR CLOSURE</w:t>
      </w:r>
    </w:p>
    <w:p w14:paraId="649C05F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 xml:space="preserve">Guarantee made this [date] by [name of guaranteeing entity], a business corporation organized under the laws of the State of [insert name of state], hereinafter referred to as </w:t>
      </w:r>
      <w:r w:rsidRPr="00326E64">
        <w:rPr>
          <w:rFonts w:ascii="Times New Roman" w:eastAsia="Calibri" w:hAnsi="Times New Roman" w:cs="Times New Roman"/>
          <w:strike/>
        </w:rPr>
        <w:lastRenderedPageBreak/>
        <w:t>guarantor, to the Louisiana Department of Environmental Quality, obligee, on behalf of our subsidiary [insert the name of the affected person] of [business address].</w:t>
      </w:r>
    </w:p>
    <w:p w14:paraId="509E744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Recitals</w:t>
      </w:r>
    </w:p>
    <w:p w14:paraId="69E0B36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The guarantor meets or exceeds the financial test criteria and agrees to comply with the reporting requirements for guarantors as specified in Louisiana Administrative Code (LAC), Title 33, Part IX.7307.D.1.d and/or E.2.h.ix.</w:t>
      </w:r>
    </w:p>
    <w:p w14:paraId="6C4FFCF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[Subsidiary] is the affected person covered by this guarantee: [List the agency interest number, site name, facility name, and facility permit number. Indicate for each facility whether guarantee is for liability coverage and/or closure and the amount of annual aggregate liability coverage and/or closure costs covered by the guarantee.]</w:t>
      </w:r>
    </w:p>
    <w:p w14:paraId="53A87B8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t>[Fill in Paragraphs (C) and (D) below if the guarantee is for closure.]</w:t>
      </w:r>
    </w:p>
    <w:p w14:paraId="0198B8C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(C).</w:t>
      </w:r>
      <w:r w:rsidRPr="00326E64">
        <w:rPr>
          <w:rFonts w:ascii="Times New Roman" w:eastAsia="Calibri" w:hAnsi="Times New Roman" w:cs="Times New Roman"/>
          <w:strike/>
        </w:rPr>
        <w:tab/>
        <w:t>"Closure plans" as used below refers to the plans maintained as required by LAC 33:IX.7305.C.3, for the closure of the facility identified in Paragraph (B) above.</w:t>
      </w:r>
    </w:p>
    <w:p w14:paraId="5AF4602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(D).</w:t>
      </w:r>
      <w:r w:rsidRPr="00326E64">
        <w:rPr>
          <w:rFonts w:ascii="Times New Roman" w:eastAsia="Calibri" w:hAnsi="Times New Roman" w:cs="Times New Roman"/>
          <w:strike/>
        </w:rPr>
        <w:tab/>
        <w:t>For value received from the affected person, guarantor guarantees to the Louisiana Department of Environmental Quality that in the event that the affected person fails to perform closure of the above facility in accordance with the closure plan and other permit requirements whenever required to do so, the guarantor shall do so or shall establish a trust fund as specified in LAC 33:IX.7307.E.2.c, as applicable, in the name of the affected person in the amount of the current closure estimates as specified in LAC 33:IX.7307.E.2.</w:t>
      </w:r>
    </w:p>
    <w:p w14:paraId="6C18F60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[Fill in Paragraph (E) below if the guarantee is for liability coverage.]</w:t>
      </w:r>
    </w:p>
    <w:p w14:paraId="14A2811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(E).</w:t>
      </w:r>
      <w:r w:rsidRPr="00326E64">
        <w:rPr>
          <w:rFonts w:ascii="Times New Roman" w:eastAsia="Calibri" w:hAnsi="Times New Roman" w:cs="Times New Roman"/>
          <w:strike/>
        </w:rPr>
        <w:tab/>
        <w:t xml:space="preserve">For value received from the affected person, guarantor guarantees to any and all third parties who have sustained or may sustain bodily injury or property damage caused by sudden and accidental occurrences arising from operations of the facility covered by this </w:t>
      </w:r>
      <w:r w:rsidRPr="00326E64">
        <w:rPr>
          <w:rFonts w:ascii="Times New Roman" w:eastAsia="Calibri" w:hAnsi="Times New Roman" w:cs="Times New Roman"/>
          <w:strike/>
        </w:rPr>
        <w:lastRenderedPageBreak/>
        <w:t>guarantee that in the event that the affected person fails to satisfy a judgment or award based on a determination of liability for bodily injury or property damage to third parties caused by sudden and accidental occurrences arising from the operation of the above-named facility, or fails to pay an amount agreed to in settlement of a claim arising from or alleged to arise from such injury or damage, the guarantor will satisfy such judgment(s), award(s), or settlement agreement(s) up to the coverage limits identified above.</w:t>
      </w:r>
    </w:p>
    <w:p w14:paraId="3940465F"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(F).</w:t>
      </w:r>
      <w:r w:rsidRPr="00326E64">
        <w:rPr>
          <w:rFonts w:ascii="Times New Roman" w:eastAsia="Calibri" w:hAnsi="Times New Roman" w:cs="Times New Roman"/>
          <w:strike/>
        </w:rPr>
        <w:tab/>
        <w:t>The guarantor agrees that if, at the end of any fiscal year before termination of this guarantee, the guarantor fails to meet the financial test criteria, the guarantor shall send within 90 days, by certified mail, notice to the administrative authority, and to the affected person, that he intends to provide alternative financial assurance as specified in [insert "LAC 33:IX.7307.D" and/or "LAC 33:IX.7307.E"], as applicable, in the name of the affected person. Within 120 days after the end of such fiscal year, the guarantor shall establish such financial assurance unless the affected person has done so.</w:t>
      </w:r>
    </w:p>
    <w:p w14:paraId="71D8889E"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(G).</w:t>
      </w:r>
      <w:r w:rsidRPr="00326E64">
        <w:rPr>
          <w:rFonts w:ascii="Times New Roman" w:eastAsia="Calibri" w:hAnsi="Times New Roman" w:cs="Times New Roman"/>
          <w:strike/>
        </w:rPr>
        <w:tab/>
        <w:t>The guarantor agrees to notify the administrative authority, by certified mail, of a voluntary or involuntary proceeding under Title 11 (Bankruptcy), U.S. Code, naming guarantor as debtor, within 10 days after commencement of the proceeding.</w:t>
      </w:r>
    </w:p>
    <w:p w14:paraId="1AFE1B00"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(H).</w:t>
      </w:r>
      <w:r w:rsidRPr="00326E64">
        <w:rPr>
          <w:rFonts w:ascii="Times New Roman" w:eastAsia="Calibri" w:hAnsi="Times New Roman" w:cs="Times New Roman"/>
          <w:strike/>
        </w:rPr>
        <w:tab/>
        <w:t>The guarantor agrees that within 30 days after being notified by the administrative authority of a determination that the guarantor no longer meets the financial test criteria or that he is disallowed from continuing as a guarantor of [insert "liability coverage" and/or "closure"] he shall establish alternate financial assurance as specified in [insert "LAC 33:IX.7307.D" and/or "LAC 33:IX.7307.E"], as applicable, in the name of the affected person unless the affected person has done so.</w:t>
      </w:r>
    </w:p>
    <w:p w14:paraId="215E7D6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strike/>
        </w:rPr>
        <w:t>(I).</w:t>
      </w:r>
      <w:r w:rsidRPr="00326E64">
        <w:rPr>
          <w:rFonts w:ascii="Times New Roman" w:eastAsia="Calibri" w:hAnsi="Times New Roman" w:cs="Times New Roman"/>
          <w:strike/>
        </w:rPr>
        <w:tab/>
        <w:t>The guarantor agrees to remain bound under this guarantee notwithstanding any or all of the following: [if the guarantee is for closure, insert "amendment or modification of the closure plan, the extension or reduction of the time of performance of closure, or”] any other modification or alteration of an obligation of the affected person pursuant to LAC 33:IX.7305.C.3.</w:t>
      </w:r>
    </w:p>
    <w:p w14:paraId="40FCDCC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(J).</w:t>
      </w:r>
      <w:r w:rsidRPr="00326E64">
        <w:rPr>
          <w:rFonts w:ascii="Times New Roman" w:eastAsia="Calibri" w:hAnsi="Times New Roman" w:cs="Times New Roman"/>
          <w:strike/>
        </w:rPr>
        <w:tab/>
        <w:t>The guarantor agrees to remain bound under this guarantee for as long as the affected person must comply with the applicable financial assurance requirements of [insert "LAC 33:IX.7307.D" and/or "LAC 33:IX.7307.E"] for the above-listed facility, except that the guarantor may cancel this guarantee by sending notice by certified mail, to the administrative authority and to the affected person, such cancellation to become effective no earlier than 90 days after receipt of such notice by both the administrative authority and the affected person, as evidenced by the return receipts.</w:t>
      </w:r>
    </w:p>
    <w:p w14:paraId="3FAEF01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(K).</w:t>
      </w:r>
      <w:r w:rsidRPr="00326E64">
        <w:rPr>
          <w:rFonts w:ascii="Times New Roman" w:eastAsia="Calibri" w:hAnsi="Times New Roman" w:cs="Times New Roman"/>
          <w:strike/>
        </w:rPr>
        <w:tab/>
        <w:t>The guarantor agrees that if the affected person fails to provide alternative financial assurance as specified in [insert "LAC 33:IX.7307.D" and/or "LAC 33:IX.7307.E"], as applicable, and obtain written approval of such assurance from the administrative authority within 60 days after a notice of cancellation by the guarantor is received by the administrative authority from the guarantor, the guarantor shall provide such alternate financial assurance in the name of the affected person.</w:t>
      </w:r>
    </w:p>
    <w:p w14:paraId="353DCA32"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(L).</w:t>
      </w:r>
      <w:r w:rsidRPr="00326E64">
        <w:rPr>
          <w:rFonts w:ascii="Times New Roman" w:eastAsia="Calibri" w:hAnsi="Times New Roman" w:cs="Times New Roman"/>
          <w:strike/>
        </w:rPr>
        <w:tab/>
        <w:t>The guarantor expressly waives notice of acceptance of this guarantee by the administrative authority or by the affected person. Guarantor expressly waives notice of amendments or modifications of the closure plan and of amendments or modifications of the facility permit(s).</w:t>
      </w:r>
    </w:p>
    <w:p w14:paraId="1E82B53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strike/>
        </w:rPr>
        <w:lastRenderedPageBreak/>
        <w:t>I hereby certify that the wording of this guarantee is identical to the wording specified in LAC 33:IX.7395.Appendix J, effective on the date first above written.</w:t>
      </w:r>
    </w:p>
    <w:p w14:paraId="176E925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Effective date:_________________</w:t>
      </w:r>
    </w:p>
    <w:p w14:paraId="07EFDBA9"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[Name of Guarantor]</w:t>
      </w:r>
    </w:p>
    <w:p w14:paraId="17CA98A5"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[Authorized signature for guarantor]</w:t>
      </w:r>
    </w:p>
    <w:p w14:paraId="524EB8E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[Typed name and title of person signing]</w:t>
      </w:r>
    </w:p>
    <w:p w14:paraId="311829EB"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Thus sworn and signed before me this [date].</w:t>
      </w:r>
    </w:p>
    <w:p w14:paraId="070CF87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_____________________</w:t>
      </w:r>
    </w:p>
    <w:p w14:paraId="17A48369"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Notary Public</w:t>
      </w:r>
    </w:p>
    <w:p w14:paraId="1D5223FF"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AUTHORITY NOTE:</w:t>
      </w:r>
      <w:r w:rsidRPr="00326E64">
        <w:rPr>
          <w:rFonts w:ascii="Times New Roman" w:eastAsia="Calibri" w:hAnsi="Times New Roman" w:cs="Times New Roman"/>
        </w:rPr>
        <w:tab/>
        <w:t>Promulgated in accordance with R.S. 30:2001 et seq., and in particular Section 2074(B)(1)(c), (B)(3), and (B)(4).</w:t>
      </w:r>
    </w:p>
    <w:p w14:paraId="733BA0BC"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HISTORICAL NOTE:</w:t>
      </w:r>
      <w:r w:rsidRPr="00326E64">
        <w:rPr>
          <w:rFonts w:ascii="Times New Roman" w:eastAsia="Calibri" w:hAnsi="Times New Roman" w:cs="Times New Roman"/>
        </w:rPr>
        <w:tab/>
        <w:t>Promulgated by the Department of Environmental Quality, Office of Environmental Assessment, Environmental Planning Division, LR 28:818 (April 2002), repromulgated LR 30:233 (February 2004), amended by the Office of Environmental Assessment, LR 30:2028 (September 2004), amended by the Office of the Secretary, Legal Affairs Division, LR 31:2519 (October 2005), LR 33:2409 (November 2007), LR 35:941 (May 2009), repealed by the Office of the Secretary, Legal Affairs Division, LR 51:</w:t>
      </w:r>
    </w:p>
    <w:p w14:paraId="519247DA" w14:textId="77777777" w:rsidR="00326E64" w:rsidRPr="00326E64" w:rsidRDefault="00326E64" w:rsidP="00326E64">
      <w:pPr>
        <w:tabs>
          <w:tab w:val="left" w:pos="288"/>
        </w:tabs>
        <w:rPr>
          <w:rFonts w:ascii="Times New Roman" w:eastAsia="Calibri" w:hAnsi="Times New Roman" w:cs="Times New Roman"/>
        </w:rPr>
      </w:pPr>
    </w:p>
    <w:p w14:paraId="73DB6443" w14:textId="77777777" w:rsidR="00326E64" w:rsidRPr="00326E64" w:rsidRDefault="00326E64" w:rsidP="00326E64">
      <w:pPr>
        <w:spacing w:line="480" w:lineRule="auto"/>
        <w:rPr>
          <w:rFonts w:ascii="Times New Roman" w:eastAsia="Calibri" w:hAnsi="Times New Roman" w:cs="Times New Roman"/>
          <w:strike/>
        </w:rPr>
      </w:pPr>
      <w:bookmarkStart w:id="26" w:name="_Toc483475166"/>
      <w:r w:rsidRPr="00326E64">
        <w:rPr>
          <w:rFonts w:ascii="Times New Roman" w:eastAsia="Calibri" w:hAnsi="Times New Roman" w:cs="Times New Roman"/>
          <w:b/>
        </w:rPr>
        <w:t>§7397.</w:t>
      </w:r>
      <w:r w:rsidRPr="00326E64">
        <w:rPr>
          <w:rFonts w:ascii="Times New Roman" w:eastAsia="Calibri" w:hAnsi="Times New Roman" w:cs="Times New Roman"/>
          <w:b/>
        </w:rPr>
        <w:tab/>
        <w:t>Procedure to Determine the Annual Whole Biosolids Application Rate</w:t>
      </w:r>
      <w:r w:rsidRPr="00326E64">
        <w:rPr>
          <w:rFonts w:ascii="Times New Roman" w:eastAsia="Calibri" w:hAnsi="Times New Roman" w:cs="Times New Roman"/>
        </w:rPr>
        <w:t xml:space="preserve"> </w:t>
      </w:r>
      <w:r w:rsidRPr="00326E64">
        <w:rPr>
          <w:rFonts w:ascii="Times New Roman" w:eastAsia="Calibri" w:hAnsi="Times New Roman" w:cs="Times New Roman"/>
        </w:rPr>
        <w:tab/>
      </w:r>
      <w:r w:rsidRPr="00326E64">
        <w:rPr>
          <w:rFonts w:ascii="Times New Roman" w:eastAsia="Calibri" w:hAnsi="Times New Roman" w:cs="Times New Roman"/>
          <w:b/>
        </w:rPr>
        <w:t>(AWBAR)―Appendix A</w:t>
      </w:r>
      <w:r w:rsidRPr="00326E64">
        <w:rPr>
          <w:rFonts w:ascii="Times New Roman" w:eastAsia="Calibri" w:hAnsi="Times New Roman" w:cs="Times New Roman"/>
          <w:b/>
          <w:strike/>
        </w:rPr>
        <w:t>K</w:t>
      </w:r>
      <w:r w:rsidRPr="00326E64">
        <w:rPr>
          <w:rFonts w:ascii="Times New Roman" w:eastAsia="Calibri" w:hAnsi="Times New Roman" w:cs="Times New Roman"/>
          <w:b/>
          <w:strike/>
        </w:rPr>
        <w:fldChar w:fldCharType="begin"/>
      </w:r>
      <w:r w:rsidRPr="00326E64">
        <w:rPr>
          <w:rFonts w:ascii="Times New Roman" w:eastAsia="Calibri" w:hAnsi="Times New Roman" w:cs="Times New Roman"/>
          <w:b/>
          <w:strike/>
        </w:rPr>
        <w:instrText xml:space="preserve"> XE "Procedure to Determine the Annual Whole Biosolids Application Rate (AWBAR)―Appendix K" </w:instrText>
      </w:r>
      <w:r w:rsidRPr="00326E64">
        <w:rPr>
          <w:rFonts w:ascii="Times New Roman" w:eastAsia="Calibri" w:hAnsi="Times New Roman" w:cs="Times New Roman"/>
          <w:b/>
          <w:strike/>
        </w:rPr>
        <w:fldChar w:fldCharType="end"/>
      </w:r>
      <w:r w:rsidRPr="00326E64">
        <w:rPr>
          <w:rFonts w:ascii="Times New Roman" w:eastAsia="Calibri" w:hAnsi="Times New Roman" w:cs="Times New Roman"/>
          <w:b/>
          <w:strike/>
        </w:rPr>
        <w:t xml:space="preserve"> [Formerly §7131]</w:t>
      </w:r>
      <w:bookmarkEnd w:id="26"/>
    </w:p>
    <w:p w14:paraId="42A25806"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t>A.</w:t>
      </w:r>
      <w:r w:rsidRPr="00326E64">
        <w:rPr>
          <w:rFonts w:ascii="Times New Roman" w:eastAsia="Calibri" w:hAnsi="Times New Roman" w:cs="Times New Roman"/>
        </w:rPr>
        <w:tab/>
        <w:t>LAC 33:IX.7303.E.1.</w:t>
      </w:r>
      <w:r w:rsidRPr="00326E64">
        <w:rPr>
          <w:rFonts w:ascii="Times New Roman" w:eastAsia="Calibri" w:hAnsi="Times New Roman" w:cs="Times New Roman"/>
          <w:u w:val="single"/>
        </w:rPr>
        <w:t>c</w:t>
      </w:r>
      <w:r w:rsidRPr="00326E64">
        <w:rPr>
          <w:rFonts w:ascii="Times New Roman" w:eastAsia="Calibri" w:hAnsi="Times New Roman" w:cs="Times New Roman"/>
          <w:strike/>
        </w:rPr>
        <w:t>d.i</w:t>
      </w:r>
      <w:r w:rsidRPr="00326E64">
        <w:rPr>
          <w:rFonts w:ascii="Times New Roman" w:eastAsia="Calibri" w:hAnsi="Times New Roman" w:cs="Times New Roman"/>
        </w:rPr>
        <w:t>i</w:t>
      </w:r>
      <w:r w:rsidRPr="00326E64">
        <w:rPr>
          <w:rFonts w:ascii="Times New Roman" w:eastAsia="Calibri" w:hAnsi="Times New Roman" w:cs="Times New Roman"/>
          <w:u w:val="single"/>
        </w:rPr>
        <w:t>v.(b)</w:t>
      </w:r>
      <w:r w:rsidRPr="00326E64">
        <w:rPr>
          <w:rFonts w:ascii="Times New Roman" w:eastAsia="Calibri" w:hAnsi="Times New Roman" w:cs="Times New Roman"/>
        </w:rPr>
        <w:t xml:space="preserve"> requires that the product of the concentration for each pollutant listed in Table </w:t>
      </w:r>
      <w:r w:rsidRPr="00326E64">
        <w:rPr>
          <w:rFonts w:ascii="Times New Roman" w:eastAsia="Calibri" w:hAnsi="Times New Roman" w:cs="Times New Roman"/>
          <w:strike/>
        </w:rPr>
        <w:t>4</w:t>
      </w:r>
      <w:r w:rsidRPr="00326E64">
        <w:rPr>
          <w:rFonts w:ascii="Times New Roman" w:eastAsia="Calibri" w:hAnsi="Times New Roman" w:cs="Times New Roman"/>
          <w:u w:val="single"/>
        </w:rPr>
        <w:t>3</w:t>
      </w:r>
      <w:r w:rsidRPr="00326E64">
        <w:rPr>
          <w:rFonts w:ascii="Times New Roman" w:eastAsia="Calibri" w:hAnsi="Times New Roman" w:cs="Times New Roman"/>
        </w:rPr>
        <w:t xml:space="preserve"> of LAC 33:IX.7303.</w:t>
      </w:r>
      <w:r w:rsidRPr="00326E64">
        <w:rPr>
          <w:rFonts w:ascii="Times New Roman" w:eastAsia="Calibri" w:hAnsi="Times New Roman" w:cs="Times New Roman"/>
          <w:u w:val="single"/>
        </w:rPr>
        <w:t>F</w:t>
      </w:r>
      <w:r w:rsidRPr="00326E64">
        <w:rPr>
          <w:rFonts w:ascii="Times New Roman" w:eastAsia="Calibri" w:hAnsi="Times New Roman" w:cs="Times New Roman"/>
        </w:rPr>
        <w:t xml:space="preserve"> in biosolids sold or given away in a bag or other container for application to the land and the annual whole biosolids application rate (AWBAR) not cause the annual pollutant loading rate for the pollutant in Table 4 of LAC 33:IX.7303.</w:t>
      </w:r>
      <w:r w:rsidRPr="00326E64">
        <w:rPr>
          <w:rFonts w:ascii="Times New Roman" w:eastAsia="Calibri" w:hAnsi="Times New Roman" w:cs="Times New Roman"/>
          <w:strike/>
        </w:rPr>
        <w:t>E</w:t>
      </w:r>
      <w:r w:rsidRPr="00326E64">
        <w:rPr>
          <w:rFonts w:ascii="Times New Roman" w:eastAsia="Calibri" w:hAnsi="Times New Roman" w:cs="Times New Roman"/>
          <w:u w:val="single"/>
        </w:rPr>
        <w:t>F</w:t>
      </w:r>
      <w:r w:rsidRPr="00326E64">
        <w:rPr>
          <w:rFonts w:ascii="Times New Roman" w:eastAsia="Calibri" w:hAnsi="Times New Roman" w:cs="Times New Roman"/>
        </w:rPr>
        <w:t xml:space="preserve"> to be exceeded. This Appendix contains the procedure used to determine the AWBAR for a sewage sludge that does not cause the annual pollutant loading rates in Table 4 of LAC 33:IX.7303.</w:t>
      </w:r>
      <w:r w:rsidRPr="00326E64">
        <w:rPr>
          <w:rFonts w:ascii="Times New Roman" w:eastAsia="Calibri" w:hAnsi="Times New Roman" w:cs="Times New Roman"/>
          <w:strike/>
        </w:rPr>
        <w:t>E</w:t>
      </w:r>
      <w:r w:rsidRPr="00326E64">
        <w:rPr>
          <w:rFonts w:ascii="Times New Roman" w:eastAsia="Calibri" w:hAnsi="Times New Roman" w:cs="Times New Roman"/>
          <w:u w:val="single"/>
        </w:rPr>
        <w:t>F</w:t>
      </w:r>
      <w:r w:rsidRPr="00326E64">
        <w:rPr>
          <w:rFonts w:ascii="Times New Roman" w:eastAsia="Calibri" w:hAnsi="Times New Roman" w:cs="Times New Roman"/>
        </w:rPr>
        <w:t xml:space="preserve"> to be exceeded.</w:t>
      </w:r>
    </w:p>
    <w:p w14:paraId="6917B76B"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t>B. — C.</w:t>
      </w:r>
      <w:r w:rsidRPr="00326E64">
        <w:rPr>
          <w:rFonts w:ascii="Times New Roman" w:eastAsia="Calibri" w:hAnsi="Times New Roman" w:cs="Times New Roman"/>
        </w:rPr>
        <w:tab/>
        <w:t>…</w:t>
      </w:r>
    </w:p>
    <w:p w14:paraId="4DE46A86" w14:textId="77777777" w:rsidR="00326E64" w:rsidRPr="00326E64" w:rsidRDefault="00326E64" w:rsidP="00326E64">
      <w:pPr>
        <w:spacing w:line="480" w:lineRule="auto"/>
        <w:jc w:val="center"/>
        <w:rPr>
          <w:rFonts w:ascii="Times New Roman" w:eastAsia="Calibri" w:hAnsi="Times New Roman" w:cs="Times New Roman"/>
        </w:rPr>
      </w:pPr>
      <w:r w:rsidRPr="00326E64">
        <w:rPr>
          <w:rFonts w:ascii="Times New Roman" w:eastAsia="Calibri" w:hAnsi="Times New Roman" w:cs="Times New Roman"/>
        </w:rPr>
        <w:lastRenderedPageBreak/>
        <w:t>* * *</w:t>
      </w:r>
    </w:p>
    <w:p w14:paraId="4ED76AAC"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t>D.</w:t>
      </w:r>
      <w:r w:rsidRPr="00326E64">
        <w:rPr>
          <w:rFonts w:ascii="Times New Roman" w:eastAsia="Calibri" w:hAnsi="Times New Roman" w:cs="Times New Roman"/>
        </w:rPr>
        <w:tab/>
        <w:t>The procedure used to determine the AWBAR is presented below.</w:t>
      </w:r>
    </w:p>
    <w:p w14:paraId="39243A1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1.</w:t>
      </w:r>
      <w:r w:rsidRPr="00326E64">
        <w:rPr>
          <w:rFonts w:ascii="Times New Roman" w:eastAsia="Calibri" w:hAnsi="Times New Roman" w:cs="Times New Roman"/>
        </w:rPr>
        <w:tab/>
        <w:t xml:space="preserve">Analyze a sample of the biosolids to determine the concentration for each of the pollutants listed in Table </w:t>
      </w:r>
      <w:r w:rsidRPr="00326E64">
        <w:rPr>
          <w:rFonts w:ascii="Times New Roman" w:eastAsia="Calibri" w:hAnsi="Times New Roman" w:cs="Times New Roman"/>
          <w:u w:val="single"/>
        </w:rPr>
        <w:t>3</w:t>
      </w:r>
      <w:r w:rsidRPr="00326E64">
        <w:rPr>
          <w:rFonts w:ascii="Times New Roman" w:eastAsia="Calibri" w:hAnsi="Times New Roman" w:cs="Times New Roman"/>
          <w:strike/>
        </w:rPr>
        <w:t>4</w:t>
      </w:r>
      <w:r w:rsidRPr="00326E64">
        <w:rPr>
          <w:rFonts w:ascii="Times New Roman" w:eastAsia="Calibri" w:hAnsi="Times New Roman" w:cs="Times New Roman"/>
        </w:rPr>
        <w:t xml:space="preserve"> of LAC 33:IX.7303.</w:t>
      </w:r>
      <w:r w:rsidRPr="00326E64">
        <w:rPr>
          <w:rFonts w:ascii="Times New Roman" w:eastAsia="Calibri" w:hAnsi="Times New Roman" w:cs="Times New Roman"/>
          <w:strike/>
        </w:rPr>
        <w:t>E</w:t>
      </w:r>
      <w:r w:rsidRPr="00326E64">
        <w:rPr>
          <w:rFonts w:ascii="Times New Roman" w:eastAsia="Calibri" w:hAnsi="Times New Roman" w:cs="Times New Roman"/>
          <w:u w:val="single"/>
        </w:rPr>
        <w:t>F</w:t>
      </w:r>
      <w:r w:rsidRPr="00326E64">
        <w:rPr>
          <w:rFonts w:ascii="Times New Roman" w:eastAsia="Calibri" w:hAnsi="Times New Roman" w:cs="Times New Roman"/>
        </w:rPr>
        <w:t xml:space="preserve"> in the biosolids.</w:t>
      </w:r>
    </w:p>
    <w:p w14:paraId="3DD4D2D4"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2.</w:t>
      </w:r>
      <w:r w:rsidRPr="00326E64">
        <w:rPr>
          <w:rFonts w:ascii="Times New Roman" w:eastAsia="Calibri" w:hAnsi="Times New Roman" w:cs="Times New Roman"/>
        </w:rPr>
        <w:tab/>
        <w:t>Using the pollutant concentrations from Step 1 and the APLRs from Table 4 of LAC 33:IX.7303.</w:t>
      </w:r>
      <w:r w:rsidRPr="00326E64">
        <w:rPr>
          <w:rFonts w:ascii="Times New Roman" w:eastAsia="Calibri" w:hAnsi="Times New Roman" w:cs="Times New Roman"/>
          <w:strike/>
        </w:rPr>
        <w:t>E</w:t>
      </w:r>
      <w:r w:rsidRPr="00326E64">
        <w:rPr>
          <w:rFonts w:ascii="Times New Roman" w:eastAsia="Calibri" w:hAnsi="Times New Roman" w:cs="Times New Roman"/>
          <w:u w:val="single"/>
        </w:rPr>
        <w:t>F</w:t>
      </w:r>
      <w:r w:rsidRPr="00326E64">
        <w:rPr>
          <w:rFonts w:ascii="Times New Roman" w:eastAsia="Calibri" w:hAnsi="Times New Roman" w:cs="Times New Roman"/>
        </w:rPr>
        <w:t>, calculate an AWBAR for each pollutant using Equation (2) above.</w:t>
      </w:r>
    </w:p>
    <w:p w14:paraId="28A8E662" w14:textId="77777777" w:rsidR="00326E64" w:rsidRPr="00326E64" w:rsidRDefault="00326E64" w:rsidP="00326E64">
      <w:pPr>
        <w:spacing w:line="480" w:lineRule="auto"/>
        <w:rPr>
          <w:rFonts w:ascii="Times New Roman" w:eastAsia="Calibri" w:hAnsi="Times New Roman" w:cs="Times New Roman"/>
        </w:rPr>
      </w:pPr>
      <w:r w:rsidRPr="00326E64">
        <w:rPr>
          <w:rFonts w:ascii="Times New Roman" w:eastAsia="Calibri" w:hAnsi="Times New Roman" w:cs="Times New Roman"/>
        </w:rPr>
        <w:tab/>
      </w:r>
      <w:r w:rsidRPr="00326E64">
        <w:rPr>
          <w:rFonts w:ascii="Times New Roman" w:eastAsia="Calibri" w:hAnsi="Times New Roman" w:cs="Times New Roman"/>
        </w:rPr>
        <w:tab/>
        <w:t>3.</w:t>
      </w:r>
      <w:r w:rsidRPr="00326E64">
        <w:rPr>
          <w:rFonts w:ascii="Times New Roman" w:eastAsia="Calibri" w:hAnsi="Times New Roman" w:cs="Times New Roman"/>
        </w:rPr>
        <w:tab/>
        <w:t>The AWBAR for the biosolids is the lowest AWBAR calculated in Step 2.</w:t>
      </w:r>
    </w:p>
    <w:p w14:paraId="729B0F7F"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AUTHORITY NOTE:</w:t>
      </w:r>
      <w:r w:rsidRPr="00326E64">
        <w:rPr>
          <w:rFonts w:ascii="Times New Roman" w:eastAsia="Calibri" w:hAnsi="Times New Roman" w:cs="Times New Roman"/>
        </w:rPr>
        <w:tab/>
        <w:t>Promulgated in accordance with R.S. 30:2001 et seq., and in particular Section 2074(B)(1)(c), (B)(3), and (B)(4).</w:t>
      </w:r>
    </w:p>
    <w:p w14:paraId="41AE696E"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HISTORICAL NOTE:</w:t>
      </w:r>
      <w:r w:rsidRPr="00326E64">
        <w:rPr>
          <w:rFonts w:ascii="Times New Roman" w:eastAsia="Calibri" w:hAnsi="Times New Roman" w:cs="Times New Roman"/>
        </w:rPr>
        <w:tab/>
        <w:t>Promulgated by the Department of Environmental Quality, Office of Environmental Assessment, Environmental Planning Division, LR 28:817 (April 2002), repromulgated LR 30:233 (February 2004), amended by the Office of the Secretary, Legal Affairs Division, LR 33:2417 (November 2007)</w:t>
      </w:r>
      <w:r w:rsidRPr="00326E64">
        <w:rPr>
          <w:rFonts w:ascii="Times New Roman" w:eastAsia="Calibri" w:hAnsi="Times New Roman" w:cs="Times New Roman"/>
          <w:strike/>
        </w:rPr>
        <w:t>.</w:t>
      </w:r>
      <w:r w:rsidRPr="00326E64">
        <w:rPr>
          <w:rFonts w:ascii="Times New Roman" w:eastAsia="Calibri" w:hAnsi="Times New Roman" w:cs="Times New Roman"/>
        </w:rPr>
        <w:t>, amended by the Office of the Secretary, Legal Affairs Division, LR 51:</w:t>
      </w:r>
    </w:p>
    <w:p w14:paraId="5B0F892F" w14:textId="77777777" w:rsidR="00326E64" w:rsidRPr="00326E64" w:rsidRDefault="00326E64" w:rsidP="00326E64">
      <w:pPr>
        <w:tabs>
          <w:tab w:val="left" w:pos="288"/>
        </w:tabs>
        <w:rPr>
          <w:rFonts w:ascii="Times New Roman" w:eastAsia="Calibri" w:hAnsi="Times New Roman" w:cs="Times New Roman"/>
        </w:rPr>
      </w:pPr>
    </w:p>
    <w:p w14:paraId="7E0EC34F" w14:textId="77777777" w:rsidR="00326E64" w:rsidRPr="00326E64" w:rsidRDefault="00326E64" w:rsidP="00326E64">
      <w:pPr>
        <w:spacing w:line="480" w:lineRule="auto"/>
        <w:rPr>
          <w:rFonts w:ascii="Times New Roman" w:eastAsia="Calibri" w:hAnsi="Times New Roman" w:cs="Times New Roman"/>
          <w:b/>
          <w:u w:val="single"/>
        </w:rPr>
      </w:pPr>
      <w:bookmarkStart w:id="27" w:name="_Toc483475167"/>
      <w:r w:rsidRPr="00326E64">
        <w:rPr>
          <w:rFonts w:ascii="Times New Roman" w:eastAsia="Calibri" w:hAnsi="Times New Roman" w:cs="Times New Roman"/>
          <w:b/>
        </w:rPr>
        <w:t>§7399.</w:t>
      </w:r>
      <w:r w:rsidRPr="00326E64">
        <w:rPr>
          <w:rFonts w:ascii="Times New Roman" w:eastAsia="Calibri" w:hAnsi="Times New Roman" w:cs="Times New Roman"/>
          <w:b/>
        </w:rPr>
        <w:tab/>
      </w:r>
      <w:r w:rsidRPr="00326E64">
        <w:rPr>
          <w:rFonts w:ascii="Times New Roman" w:eastAsia="Calibri" w:hAnsi="Times New Roman" w:cs="Times New Roman"/>
          <w:b/>
          <w:strike/>
        </w:rPr>
        <w:t>Pathogen Treatment Processes―Appendix L [Formerly §7133]</w:t>
      </w:r>
      <w:bookmarkEnd w:id="27"/>
      <w:r w:rsidRPr="00326E64">
        <w:rPr>
          <w:rFonts w:ascii="Times New Roman" w:eastAsia="Calibri" w:hAnsi="Times New Roman" w:cs="Times New Roman"/>
          <w:b/>
          <w:u w:val="single"/>
        </w:rPr>
        <w:t>Repealed.</w:t>
      </w:r>
    </w:p>
    <w:p w14:paraId="1767BBD7"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A.</w:t>
      </w:r>
      <w:r w:rsidRPr="00326E64">
        <w:rPr>
          <w:rFonts w:ascii="Times New Roman" w:eastAsia="Calibri" w:hAnsi="Times New Roman" w:cs="Times New Roman"/>
          <w:strike/>
        </w:rPr>
        <w:tab/>
        <w:t>Processes to Significantly Reduce Pathogens (PSRP)</w:t>
      </w:r>
    </w:p>
    <w:p w14:paraId="019DF09D"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Aerobic Digestion. Sewage sludge is agitated with air or oxygen to maintain aerobic conditions for a specific mean cell residence time at a specific temperature. Values for the mean cell residence time and temperature shall be between 40 days at 20°C and 60 days at 15°C.</w:t>
      </w:r>
    </w:p>
    <w:p w14:paraId="232471C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Air Drying. Sewage sludge is dried on sand beds or on paved or unpaved basins. The sewage sludge dries for a minimum of three months. During two of the three months, the ambient average daily temperature is above 0°C.</w:t>
      </w:r>
    </w:p>
    <w:p w14:paraId="482DC8B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3.</w:t>
      </w:r>
      <w:r w:rsidRPr="00326E64">
        <w:rPr>
          <w:rFonts w:ascii="Times New Roman" w:eastAsia="Calibri" w:hAnsi="Times New Roman" w:cs="Times New Roman"/>
          <w:strike/>
        </w:rPr>
        <w:tab/>
        <w:t>Anaerobic Digestion. Sewage sludge is treated in the absence of air for a specific mean cell residence time at a specific temperature. Values for the mean cell residence time and temperature shall be between 15 days at 35°to 55°C and 60 days at 20°C.</w:t>
      </w:r>
    </w:p>
    <w:p w14:paraId="1F7A0FA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strike/>
        </w:rPr>
        <w:t>4.</w:t>
      </w:r>
      <w:r w:rsidRPr="00326E64">
        <w:rPr>
          <w:rFonts w:ascii="Times New Roman" w:eastAsia="Calibri" w:hAnsi="Times New Roman" w:cs="Times New Roman"/>
          <w:strike/>
        </w:rPr>
        <w:tab/>
        <w:t>Composting. Using either the within-vessel, static aerated pile, or windrow composting methods, the temperature of the sewage sludge is raised to 40°C or higher and remains at 40°C or higher for five days. For four hours during the five days, the temperature in the compost pile exceeds 55°C.</w:t>
      </w:r>
    </w:p>
    <w:p w14:paraId="28B647F1"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5.</w:t>
      </w:r>
      <w:r w:rsidRPr="00326E64">
        <w:rPr>
          <w:rFonts w:ascii="Times New Roman" w:eastAsia="Calibri" w:hAnsi="Times New Roman" w:cs="Times New Roman"/>
          <w:strike/>
        </w:rPr>
        <w:tab/>
        <w:t>Lime Stabilization. Sufficient lime is added to the sewage sludge to raise the pH of the sewage sludge to 12 after two hours of contact.</w:t>
      </w:r>
    </w:p>
    <w:p w14:paraId="73F2A1B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strike/>
        </w:rPr>
        <w:t>B.</w:t>
      </w:r>
      <w:r w:rsidRPr="00326E64">
        <w:rPr>
          <w:rFonts w:ascii="Times New Roman" w:eastAsia="Calibri" w:hAnsi="Times New Roman" w:cs="Times New Roman"/>
          <w:strike/>
        </w:rPr>
        <w:tab/>
        <w:t>Processes to Further Reduce Pathogens (PFRP)</w:t>
      </w:r>
    </w:p>
    <w:p w14:paraId="3E330063"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1.</w:t>
      </w:r>
      <w:r w:rsidRPr="00326E64">
        <w:rPr>
          <w:rFonts w:ascii="Times New Roman" w:eastAsia="Calibri" w:hAnsi="Times New Roman" w:cs="Times New Roman"/>
          <w:strike/>
        </w:rPr>
        <w:tab/>
        <w:t>Composting. Using either the within-vessel composting method or the static aerated pile composting method, the temperature of the sewage sludge is maintained at 55°C or higher for three days. Using the windrow composting method, the temperature of the sewage sludge is maintained at 55°C or higher for 15 days or longer. During the period when the compost is maintained at 55°C or higher, there shall be a minimum of five turnings of the windrow.</w:t>
      </w:r>
    </w:p>
    <w:p w14:paraId="45A2A936"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2.</w:t>
      </w:r>
      <w:r w:rsidRPr="00326E64">
        <w:rPr>
          <w:rFonts w:ascii="Times New Roman" w:eastAsia="Calibri" w:hAnsi="Times New Roman" w:cs="Times New Roman"/>
          <w:strike/>
        </w:rPr>
        <w:tab/>
        <w:t>Heat Drying. Sewage sludge is dried by direct or indirect contact with hot gases to reduce the moisture content of the sewage sludge to 10 percent or lower. Either the temperature of the sewage sludge particles exceeds 80°C or the wet bulb temperature of the gas in contact with the sewage sludge as the sewage sludge leaves the dryer exceeds 80˚C.</w:t>
      </w:r>
    </w:p>
    <w:p w14:paraId="0C424EE4"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3.</w:t>
      </w:r>
      <w:r w:rsidRPr="00326E64">
        <w:rPr>
          <w:rFonts w:ascii="Times New Roman" w:eastAsia="Calibri" w:hAnsi="Times New Roman" w:cs="Times New Roman"/>
          <w:strike/>
        </w:rPr>
        <w:tab/>
        <w:t>Heat Treatment. Liquid sewage sludge is heated to a temperature of 180°C or higher for 30 minutes.</w:t>
      </w:r>
    </w:p>
    <w:p w14:paraId="66D9453C"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4.</w:t>
      </w:r>
      <w:r w:rsidRPr="00326E64">
        <w:rPr>
          <w:rFonts w:ascii="Times New Roman" w:eastAsia="Calibri" w:hAnsi="Times New Roman" w:cs="Times New Roman"/>
          <w:strike/>
        </w:rPr>
        <w:tab/>
        <w:t>Thermophilic Aerobic Digestion. Liquid sewage sludge is agitated with air or oxygen to maintain aerobic conditions and the mean cell residence time of the sewage sludge is 10 days at 55° to 60°C.</w:t>
      </w:r>
    </w:p>
    <w:p w14:paraId="384208C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lastRenderedPageBreak/>
        <w:tab/>
      </w:r>
      <w:r w:rsidRPr="00326E64">
        <w:rPr>
          <w:rFonts w:ascii="Times New Roman" w:eastAsia="Calibri" w:hAnsi="Times New Roman" w:cs="Times New Roman"/>
        </w:rPr>
        <w:tab/>
      </w:r>
      <w:r w:rsidRPr="00326E64">
        <w:rPr>
          <w:rFonts w:ascii="Times New Roman" w:eastAsia="Calibri" w:hAnsi="Times New Roman" w:cs="Times New Roman"/>
          <w:strike/>
        </w:rPr>
        <w:t>5.</w:t>
      </w:r>
      <w:r w:rsidRPr="00326E64">
        <w:rPr>
          <w:rFonts w:ascii="Times New Roman" w:eastAsia="Calibri" w:hAnsi="Times New Roman" w:cs="Times New Roman"/>
          <w:strike/>
        </w:rPr>
        <w:tab/>
        <w:t>Beta Ray Irradiation. Sewage sludge is irradiated with beta rays from an accelerator at dosages of at least 1.0 megarad at room temperature (approximately 20°C).</w:t>
      </w:r>
    </w:p>
    <w:p w14:paraId="5857AF68" w14:textId="77777777" w:rsidR="00326E64" w:rsidRPr="00326E64" w:rsidRDefault="00326E64" w:rsidP="00326E64">
      <w:pPr>
        <w:spacing w:line="480" w:lineRule="auto"/>
        <w:rPr>
          <w:rFonts w:ascii="Times New Roman" w:eastAsia="Calibri" w:hAnsi="Times New Roman" w:cs="Times New Roman"/>
          <w:strik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6.</w:t>
      </w:r>
      <w:r w:rsidRPr="00326E64">
        <w:rPr>
          <w:rFonts w:ascii="Times New Roman" w:eastAsia="Calibri" w:hAnsi="Times New Roman" w:cs="Times New Roman"/>
          <w:strike/>
        </w:rPr>
        <w:tab/>
        <w:t>Gamma Ray Irradiation. Sewage sludge is irradiated with gamma rays from certain isotopes, such as 60Cobalt and 137Cesium, at dosages of at least 1.0 megarad at room temperature (approximately 20°C).</w:t>
      </w:r>
    </w:p>
    <w:p w14:paraId="36F0FEF3" w14:textId="77777777" w:rsidR="00326E64" w:rsidRPr="00326E64" w:rsidRDefault="00326E64" w:rsidP="00326E64">
      <w:pPr>
        <w:spacing w:line="480" w:lineRule="auto"/>
        <w:rPr>
          <w:rFonts w:ascii="Times New Roman" w:eastAsia="Calibri" w:hAnsi="Times New Roman" w:cs="Times New Roman"/>
          <w:u w:val="single"/>
        </w:rPr>
      </w:pPr>
      <w:r w:rsidRPr="00326E64">
        <w:rPr>
          <w:rFonts w:ascii="Times New Roman" w:eastAsia="Calibri" w:hAnsi="Times New Roman" w:cs="Times New Roman"/>
        </w:rPr>
        <w:tab/>
      </w:r>
      <w:r w:rsidRPr="00326E64">
        <w:rPr>
          <w:rFonts w:ascii="Times New Roman" w:eastAsia="Calibri" w:hAnsi="Times New Roman" w:cs="Times New Roman"/>
        </w:rPr>
        <w:tab/>
      </w:r>
      <w:r w:rsidRPr="00326E64">
        <w:rPr>
          <w:rFonts w:ascii="Times New Roman" w:eastAsia="Calibri" w:hAnsi="Times New Roman" w:cs="Times New Roman"/>
          <w:strike/>
        </w:rPr>
        <w:t>7.</w:t>
      </w:r>
      <w:r w:rsidRPr="00326E64">
        <w:rPr>
          <w:rFonts w:ascii="Times New Roman" w:eastAsia="Calibri" w:hAnsi="Times New Roman" w:cs="Times New Roman"/>
          <w:strike/>
        </w:rPr>
        <w:tab/>
        <w:t>Pasteurization. The temperature of the sewage sludge is maintained at 70°C or higher for 30 minutes or longer.</w:t>
      </w:r>
    </w:p>
    <w:p w14:paraId="567185C5"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AUTHORITY NOTE:</w:t>
      </w:r>
      <w:r w:rsidRPr="00326E64">
        <w:rPr>
          <w:rFonts w:ascii="Times New Roman" w:eastAsia="Calibri" w:hAnsi="Times New Roman" w:cs="Times New Roman"/>
        </w:rPr>
        <w:tab/>
        <w:t>Promulgated in accordance with R.S. 30:2001 et seq., and in particular Section 2074(B)(1)(c), (B)(3), and (B)(4).</w:t>
      </w:r>
    </w:p>
    <w:p w14:paraId="5C25BA12" w14:textId="77777777" w:rsidR="00326E64" w:rsidRPr="00326E64" w:rsidRDefault="00326E64" w:rsidP="00326E64">
      <w:pPr>
        <w:tabs>
          <w:tab w:val="left" w:pos="288"/>
        </w:tabs>
        <w:rPr>
          <w:rFonts w:ascii="Times New Roman" w:eastAsia="Calibri" w:hAnsi="Times New Roman" w:cs="Times New Roman"/>
        </w:rPr>
      </w:pPr>
      <w:r w:rsidRPr="00326E64">
        <w:rPr>
          <w:rFonts w:ascii="Times New Roman" w:eastAsia="Calibri" w:hAnsi="Times New Roman" w:cs="Times New Roman"/>
        </w:rPr>
        <w:tab/>
        <w:t>HISTORICAL NOTE:</w:t>
      </w:r>
      <w:r w:rsidRPr="00326E64">
        <w:rPr>
          <w:rFonts w:ascii="Times New Roman" w:eastAsia="Calibri" w:hAnsi="Times New Roman" w:cs="Times New Roman"/>
        </w:rPr>
        <w:tab/>
        <w:t>Promulgated by the Department of Environmental Quality, Office of Environmental Assessment, Environmental Planning Division, LR 28:817 (April 2002), repromulgated LR 30:233 (February 2004), amended by the Office of the Secretary, Legal Affairs Division, LR 33:2417 (November 2007), repealed by the Office of the Secretary, Legal Affairs Division, LR 51:</w:t>
      </w:r>
    </w:p>
    <w:p w14:paraId="11056C40" w14:textId="77777777" w:rsidR="00326E64" w:rsidRDefault="00326E64" w:rsidP="004F6187">
      <w:pPr>
        <w:pStyle w:val="WPNormal"/>
        <w:tabs>
          <w:tab w:val="left" w:pos="-720"/>
          <w:tab w:val="left" w:pos="0"/>
          <w:tab w:val="left" w:pos="720"/>
          <w:tab w:val="left" w:pos="1440"/>
          <w:tab w:val="left" w:pos="2160"/>
          <w:tab w:val="left" w:pos="2880"/>
        </w:tabs>
        <w:jc w:val="center"/>
        <w:rPr>
          <w:rFonts w:ascii="Palatino" w:hAnsi="Palatino"/>
          <w:b/>
          <w:sz w:val="20"/>
        </w:rPr>
      </w:pPr>
      <w:bookmarkStart w:id="28" w:name="_GoBack"/>
      <w:bookmarkEnd w:id="28"/>
    </w:p>
    <w:sectPr w:rsidR="00326E64" w:rsidSect="00C01AC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93A48" w14:textId="77777777" w:rsidR="00084BB6" w:rsidRDefault="00084BB6" w:rsidP="008C4A02">
      <w:r>
        <w:separator/>
      </w:r>
    </w:p>
  </w:endnote>
  <w:endnote w:type="continuationSeparator" w:id="0">
    <w:p w14:paraId="6DE081A3" w14:textId="77777777" w:rsidR="00084BB6" w:rsidRDefault="00084BB6" w:rsidP="008C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E028C" w14:textId="77777777" w:rsidR="00084BB6" w:rsidRDefault="00084BB6" w:rsidP="008C4A02">
      <w:r>
        <w:separator/>
      </w:r>
    </w:p>
  </w:footnote>
  <w:footnote w:type="continuationSeparator" w:id="0">
    <w:p w14:paraId="357E124B" w14:textId="77777777" w:rsidR="00084BB6" w:rsidRDefault="00084BB6" w:rsidP="008C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F66D9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25DE7ED9"/>
    <w:multiLevelType w:val="hybridMultilevel"/>
    <w:tmpl w:val="58A297B2"/>
    <w:lvl w:ilvl="0" w:tplc="B58A0C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0A58B8"/>
    <w:multiLevelType w:val="hybridMultilevel"/>
    <w:tmpl w:val="89DC1E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8E7BA5"/>
    <w:multiLevelType w:val="hybridMultilevel"/>
    <w:tmpl w:val="765E8C06"/>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732B36"/>
    <w:multiLevelType w:val="singleLevel"/>
    <w:tmpl w:val="96FA9F1C"/>
    <w:lvl w:ilvl="0">
      <w:start w:val="5363"/>
      <w:numFmt w:val="decimal"/>
      <w:pStyle w:val="Level2"/>
      <w:lvlText w:val="%1"/>
      <w:lvlJc w:val="left"/>
      <w:pPr>
        <w:tabs>
          <w:tab w:val="num" w:pos="600"/>
        </w:tabs>
        <w:ind w:left="600" w:hanging="600"/>
      </w:pPr>
      <w:rPr>
        <w:rFonts w:hint="default"/>
      </w:rPr>
    </w:lvl>
  </w:abstractNum>
  <w:abstractNum w:abstractNumId="6" w15:restartNumberingAfterBreak="0">
    <w:nsid w:val="38F837B4"/>
    <w:multiLevelType w:val="singleLevel"/>
    <w:tmpl w:val="BDCCE002"/>
    <w:lvl w:ilvl="0">
      <w:start w:val="1"/>
      <w:numFmt w:val="upperLetter"/>
      <w:pStyle w:val="Heading2"/>
      <w:lvlText w:val="%1."/>
      <w:lvlJc w:val="left"/>
      <w:pPr>
        <w:tabs>
          <w:tab w:val="num" w:pos="1125"/>
        </w:tabs>
        <w:ind w:left="1125" w:hanging="405"/>
      </w:pPr>
      <w:rPr>
        <w:rFonts w:hint="default"/>
      </w:rPr>
    </w:lvl>
  </w:abstractNum>
  <w:abstractNum w:abstractNumId="7" w15:restartNumberingAfterBreak="0">
    <w:nsid w:val="3DCF6539"/>
    <w:multiLevelType w:val="hybridMultilevel"/>
    <w:tmpl w:val="0B3A3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240A50"/>
    <w:multiLevelType w:val="multilevel"/>
    <w:tmpl w:val="FF2A9726"/>
    <w:styleLink w:val="CurrentList1"/>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5C76A23"/>
    <w:multiLevelType w:val="singleLevel"/>
    <w:tmpl w:val="4EEC2ADE"/>
    <w:lvl w:ilvl="0">
      <w:start w:val="1"/>
      <w:numFmt w:val="upperLetter"/>
      <w:pStyle w:val="Heading4"/>
      <w:lvlText w:val="%1."/>
      <w:lvlJc w:val="left"/>
      <w:pPr>
        <w:tabs>
          <w:tab w:val="num" w:pos="1005"/>
        </w:tabs>
        <w:ind w:left="1005" w:hanging="405"/>
      </w:pPr>
      <w:rPr>
        <w:rFonts w:hint="default"/>
      </w:rPr>
    </w:lvl>
  </w:abstractNum>
  <w:abstractNum w:abstractNumId="10"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60590F15"/>
    <w:multiLevelType w:val="hybridMultilevel"/>
    <w:tmpl w:val="FF2A9726"/>
    <w:lvl w:ilvl="0" w:tplc="5840F2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0762F51"/>
    <w:multiLevelType w:val="hybridMultilevel"/>
    <w:tmpl w:val="C2E8F394"/>
    <w:lvl w:ilvl="0" w:tplc="2584B9EA">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4"/>
  </w:num>
  <w:num w:numId="3">
    <w:abstractNumId w:val="1"/>
  </w:num>
  <w:num w:numId="4">
    <w:abstractNumId w:val="10"/>
  </w:num>
  <w:num w:numId="5">
    <w:abstractNumId w:val="3"/>
  </w:num>
  <w:num w:numId="6">
    <w:abstractNumId w:val="7"/>
  </w:num>
  <w:num w:numId="7">
    <w:abstractNumId w:val="8"/>
  </w:num>
  <w:num w:numId="8">
    <w:abstractNumId w:val="2"/>
  </w:num>
  <w:num w:numId="9">
    <w:abstractNumId w:val="12"/>
  </w:num>
  <w:num w:numId="10">
    <w:abstractNumId w:val="0"/>
  </w:num>
  <w:num w:numId="11">
    <w:abstractNumId w:val="5"/>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87"/>
    <w:rsid w:val="00082CD2"/>
    <w:rsid w:val="00084BB6"/>
    <w:rsid w:val="001649FC"/>
    <w:rsid w:val="00287A7E"/>
    <w:rsid w:val="002929D4"/>
    <w:rsid w:val="003068F0"/>
    <w:rsid w:val="0031758E"/>
    <w:rsid w:val="00326E64"/>
    <w:rsid w:val="003455EA"/>
    <w:rsid w:val="00350DE1"/>
    <w:rsid w:val="003A51BF"/>
    <w:rsid w:val="003C4483"/>
    <w:rsid w:val="003C6C91"/>
    <w:rsid w:val="0041055E"/>
    <w:rsid w:val="00467038"/>
    <w:rsid w:val="004815F6"/>
    <w:rsid w:val="00493842"/>
    <w:rsid w:val="004F6187"/>
    <w:rsid w:val="005B49F9"/>
    <w:rsid w:val="00610956"/>
    <w:rsid w:val="00625862"/>
    <w:rsid w:val="00626DC2"/>
    <w:rsid w:val="00627057"/>
    <w:rsid w:val="00680EAE"/>
    <w:rsid w:val="0069030C"/>
    <w:rsid w:val="006C1C27"/>
    <w:rsid w:val="007177C2"/>
    <w:rsid w:val="007414DD"/>
    <w:rsid w:val="00794658"/>
    <w:rsid w:val="007E34EE"/>
    <w:rsid w:val="00804B16"/>
    <w:rsid w:val="00825FE1"/>
    <w:rsid w:val="008653CC"/>
    <w:rsid w:val="008B6D06"/>
    <w:rsid w:val="008C4A02"/>
    <w:rsid w:val="00952E1F"/>
    <w:rsid w:val="00971B4D"/>
    <w:rsid w:val="009D233C"/>
    <w:rsid w:val="009F223B"/>
    <w:rsid w:val="009F6411"/>
    <w:rsid w:val="00A0417C"/>
    <w:rsid w:val="00AD58F2"/>
    <w:rsid w:val="00AF1396"/>
    <w:rsid w:val="00B160E2"/>
    <w:rsid w:val="00C01AC7"/>
    <w:rsid w:val="00C10B50"/>
    <w:rsid w:val="00C46FDC"/>
    <w:rsid w:val="00C564BF"/>
    <w:rsid w:val="00C95AEF"/>
    <w:rsid w:val="00CA19AD"/>
    <w:rsid w:val="00D00769"/>
    <w:rsid w:val="00D24AE6"/>
    <w:rsid w:val="00D26A97"/>
    <w:rsid w:val="00D42DCA"/>
    <w:rsid w:val="00D7095D"/>
    <w:rsid w:val="00DB1958"/>
    <w:rsid w:val="00DE1430"/>
    <w:rsid w:val="00E12B63"/>
    <w:rsid w:val="00E64426"/>
    <w:rsid w:val="00F11475"/>
    <w:rsid w:val="00F64659"/>
    <w:rsid w:val="00FD4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74AC6E"/>
  <w15:chartTrackingRefBased/>
  <w15:docId w15:val="{3D9559FF-111A-F447-8FEE-E28C0647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26E64"/>
    <w:pPr>
      <w:keepNext/>
      <w:spacing w:after="160" w:line="259" w:lineRule="auto"/>
      <w:outlineLvl w:val="0"/>
    </w:pPr>
    <w:rPr>
      <w:vanish/>
      <w:sz w:val="22"/>
      <w:szCs w:val="22"/>
    </w:rPr>
  </w:style>
  <w:style w:type="paragraph" w:styleId="Heading2">
    <w:name w:val="heading 2"/>
    <w:basedOn w:val="Normal"/>
    <w:next w:val="Normal"/>
    <w:link w:val="Heading2Char"/>
    <w:qFormat/>
    <w:rsid w:val="00326E64"/>
    <w:pPr>
      <w:keepNext/>
      <w:numPr>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outlineLvl w:val="1"/>
    </w:pPr>
    <w:rPr>
      <w:rFonts w:ascii="Courier" w:hAnsi="Courier"/>
      <w:snapToGrid w:val="0"/>
      <w:sz w:val="22"/>
      <w:szCs w:val="22"/>
      <w:u w:val="single"/>
    </w:rPr>
  </w:style>
  <w:style w:type="paragraph" w:styleId="Heading3">
    <w:name w:val="heading 3"/>
    <w:basedOn w:val="Normal"/>
    <w:next w:val="Normal"/>
    <w:link w:val="Heading3Char"/>
    <w:qFormat/>
    <w:rsid w:val="00326E64"/>
    <w:pPr>
      <w:keepNext/>
      <w:spacing w:after="160" w:line="259" w:lineRule="auto"/>
      <w:jc w:val="center"/>
      <w:outlineLvl w:val="2"/>
    </w:pPr>
    <w:rPr>
      <w:b/>
      <w:bCs/>
      <w:spacing w:val="6"/>
      <w:sz w:val="22"/>
      <w:szCs w:val="18"/>
    </w:rPr>
  </w:style>
  <w:style w:type="paragraph" w:styleId="Heading4">
    <w:name w:val="heading 4"/>
    <w:basedOn w:val="Normal"/>
    <w:next w:val="Normal"/>
    <w:link w:val="Heading4Char"/>
    <w:qFormat/>
    <w:rsid w:val="00326E64"/>
    <w:pPr>
      <w:keepNext/>
      <w:numPr>
        <w:numId w:val="12"/>
      </w:numPr>
      <w:tabs>
        <w:tab w:val="clear" w:pos="1005"/>
        <w:tab w:val="num" w:pos="900"/>
      </w:tabs>
      <w:spacing w:after="160" w:line="259" w:lineRule="auto"/>
      <w:ind w:left="810"/>
      <w:outlineLvl w:val="3"/>
    </w:pPr>
    <w:rPr>
      <w:b/>
      <w:sz w:val="22"/>
      <w:szCs w:val="22"/>
    </w:rPr>
  </w:style>
  <w:style w:type="paragraph" w:styleId="Heading5">
    <w:name w:val="heading 5"/>
    <w:basedOn w:val="Normal"/>
    <w:next w:val="Normal"/>
    <w:link w:val="Heading5Char"/>
    <w:qFormat/>
    <w:rsid w:val="00326E64"/>
    <w:pPr>
      <w:keepNext/>
      <w:spacing w:after="160" w:line="259" w:lineRule="auto"/>
      <w:outlineLvl w:val="4"/>
    </w:pPr>
    <w:rPr>
      <w:i/>
      <w:sz w:val="22"/>
      <w:szCs w:val="22"/>
    </w:rPr>
  </w:style>
  <w:style w:type="paragraph" w:styleId="Heading6">
    <w:name w:val="heading 6"/>
    <w:basedOn w:val="Normal"/>
    <w:next w:val="Normal"/>
    <w:link w:val="Heading6Char"/>
    <w:qFormat/>
    <w:rsid w:val="00326E64"/>
    <w:pPr>
      <w:keepNext/>
      <w:spacing w:after="20" w:line="259" w:lineRule="auto"/>
      <w:jc w:val="center"/>
      <w:outlineLvl w:val="5"/>
    </w:pPr>
    <w:rPr>
      <w:sz w:val="22"/>
      <w:szCs w:val="22"/>
      <w:u w:val="single"/>
    </w:rPr>
  </w:style>
  <w:style w:type="paragraph" w:styleId="Heading7">
    <w:name w:val="heading 7"/>
    <w:basedOn w:val="Normal"/>
    <w:next w:val="Normal"/>
    <w:link w:val="Heading7Char"/>
    <w:qFormat/>
    <w:rsid w:val="00326E64"/>
    <w:pPr>
      <w:keepNext/>
      <w:tabs>
        <w:tab w:val="num" w:pos="600"/>
        <w:tab w:val="left" w:pos="1530"/>
      </w:tabs>
      <w:spacing w:after="160" w:line="259" w:lineRule="auto"/>
      <w:ind w:left="600" w:right="-180" w:hanging="600"/>
      <w:outlineLvl w:val="6"/>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4F6187"/>
    <w:pPr>
      <w:widowControl w:val="0"/>
      <w:autoSpaceDE w:val="0"/>
      <w:autoSpaceDN w:val="0"/>
      <w:jc w:val="both"/>
    </w:pPr>
    <w:rPr>
      <w:rFonts w:ascii="New Century Schlbk" w:eastAsia="Times New Roman" w:hAnsi="New Century Schlbk" w:cs="Times New Roman"/>
      <w:color w:val="000000"/>
      <w:szCs w:val="20"/>
    </w:rPr>
  </w:style>
  <w:style w:type="paragraph" w:styleId="Header">
    <w:name w:val="header"/>
    <w:basedOn w:val="Normal"/>
    <w:link w:val="HeaderChar"/>
    <w:unhideWhenUsed/>
    <w:rsid w:val="008C4A02"/>
    <w:pPr>
      <w:tabs>
        <w:tab w:val="center" w:pos="4680"/>
        <w:tab w:val="right" w:pos="9360"/>
      </w:tabs>
    </w:pPr>
  </w:style>
  <w:style w:type="character" w:customStyle="1" w:styleId="HeaderChar">
    <w:name w:val="Header Char"/>
    <w:basedOn w:val="DefaultParagraphFont"/>
    <w:link w:val="Header"/>
    <w:rsid w:val="008C4A02"/>
  </w:style>
  <w:style w:type="paragraph" w:styleId="Footer">
    <w:name w:val="footer"/>
    <w:aliases w:val="f"/>
    <w:basedOn w:val="Normal"/>
    <w:link w:val="FooterChar"/>
    <w:uiPriority w:val="99"/>
    <w:unhideWhenUsed/>
    <w:rsid w:val="008C4A02"/>
    <w:pPr>
      <w:tabs>
        <w:tab w:val="center" w:pos="4680"/>
        <w:tab w:val="right" w:pos="9360"/>
      </w:tabs>
    </w:pPr>
  </w:style>
  <w:style w:type="character" w:customStyle="1" w:styleId="FooterChar">
    <w:name w:val="Footer Char"/>
    <w:aliases w:val="f Char"/>
    <w:basedOn w:val="DefaultParagraphFont"/>
    <w:link w:val="Footer"/>
    <w:uiPriority w:val="99"/>
    <w:rsid w:val="008C4A02"/>
  </w:style>
  <w:style w:type="table" w:styleId="TableGrid">
    <w:name w:val="Table Grid"/>
    <w:basedOn w:val="TableNormal"/>
    <w:uiPriority w:val="39"/>
    <w:rsid w:val="008C4A0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80EAE"/>
    <w:pPr>
      <w:numPr>
        <w:numId w:val="7"/>
      </w:numPr>
    </w:pPr>
  </w:style>
  <w:style w:type="paragraph" w:styleId="BalloonText">
    <w:name w:val="Balloon Text"/>
    <w:basedOn w:val="Normal"/>
    <w:link w:val="BalloonTextChar"/>
    <w:unhideWhenUsed/>
    <w:rsid w:val="00DE1430"/>
    <w:rPr>
      <w:rFonts w:ascii="Segoe UI" w:hAnsi="Segoe UI" w:cs="Segoe UI"/>
      <w:sz w:val="18"/>
      <w:szCs w:val="18"/>
    </w:rPr>
  </w:style>
  <w:style w:type="character" w:customStyle="1" w:styleId="BalloonTextChar">
    <w:name w:val="Balloon Text Char"/>
    <w:basedOn w:val="DefaultParagraphFont"/>
    <w:link w:val="BalloonText"/>
    <w:rsid w:val="00DE1430"/>
    <w:rPr>
      <w:rFonts w:ascii="Segoe UI" w:hAnsi="Segoe UI" w:cs="Segoe UI"/>
      <w:sz w:val="18"/>
      <w:szCs w:val="18"/>
    </w:rPr>
  </w:style>
  <w:style w:type="character" w:styleId="CommentReference">
    <w:name w:val="annotation reference"/>
    <w:basedOn w:val="DefaultParagraphFont"/>
    <w:uiPriority w:val="99"/>
    <w:unhideWhenUsed/>
    <w:rsid w:val="00D24AE6"/>
    <w:rPr>
      <w:sz w:val="16"/>
      <w:szCs w:val="16"/>
    </w:rPr>
  </w:style>
  <w:style w:type="paragraph" w:styleId="CommentText">
    <w:name w:val="annotation text"/>
    <w:basedOn w:val="Normal"/>
    <w:link w:val="CommentTextChar"/>
    <w:uiPriority w:val="99"/>
    <w:unhideWhenUsed/>
    <w:rsid w:val="00D24AE6"/>
    <w:rPr>
      <w:sz w:val="20"/>
      <w:szCs w:val="20"/>
    </w:rPr>
  </w:style>
  <w:style w:type="character" w:customStyle="1" w:styleId="CommentTextChar">
    <w:name w:val="Comment Text Char"/>
    <w:basedOn w:val="DefaultParagraphFont"/>
    <w:link w:val="CommentText"/>
    <w:uiPriority w:val="99"/>
    <w:rsid w:val="00D24AE6"/>
    <w:rPr>
      <w:sz w:val="20"/>
      <w:szCs w:val="20"/>
    </w:rPr>
  </w:style>
  <w:style w:type="paragraph" w:styleId="CommentSubject">
    <w:name w:val="annotation subject"/>
    <w:basedOn w:val="CommentText"/>
    <w:next w:val="CommentText"/>
    <w:link w:val="CommentSubjectChar"/>
    <w:unhideWhenUsed/>
    <w:rsid w:val="00D24AE6"/>
    <w:rPr>
      <w:b/>
      <w:bCs/>
    </w:rPr>
  </w:style>
  <w:style w:type="character" w:customStyle="1" w:styleId="CommentSubjectChar">
    <w:name w:val="Comment Subject Char"/>
    <w:basedOn w:val="CommentTextChar"/>
    <w:link w:val="CommentSubject"/>
    <w:rsid w:val="00D24AE6"/>
    <w:rPr>
      <w:b/>
      <w:bCs/>
      <w:sz w:val="20"/>
      <w:szCs w:val="20"/>
    </w:rPr>
  </w:style>
  <w:style w:type="paragraph" w:styleId="Revision">
    <w:name w:val="Revision"/>
    <w:hidden/>
    <w:uiPriority w:val="99"/>
    <w:semiHidden/>
    <w:rsid w:val="00FD485B"/>
  </w:style>
  <w:style w:type="character" w:customStyle="1" w:styleId="Heading1Char">
    <w:name w:val="Heading 1 Char"/>
    <w:basedOn w:val="DefaultParagraphFont"/>
    <w:link w:val="Heading1"/>
    <w:rsid w:val="00326E64"/>
    <w:rPr>
      <w:vanish/>
      <w:sz w:val="22"/>
      <w:szCs w:val="22"/>
    </w:rPr>
  </w:style>
  <w:style w:type="character" w:customStyle="1" w:styleId="Heading2Char">
    <w:name w:val="Heading 2 Char"/>
    <w:basedOn w:val="DefaultParagraphFont"/>
    <w:link w:val="Heading2"/>
    <w:rsid w:val="00326E64"/>
    <w:rPr>
      <w:rFonts w:ascii="Courier" w:hAnsi="Courier"/>
      <w:snapToGrid w:val="0"/>
      <w:sz w:val="22"/>
      <w:szCs w:val="22"/>
      <w:u w:val="single"/>
    </w:rPr>
  </w:style>
  <w:style w:type="character" w:customStyle="1" w:styleId="Heading3Char">
    <w:name w:val="Heading 3 Char"/>
    <w:basedOn w:val="DefaultParagraphFont"/>
    <w:link w:val="Heading3"/>
    <w:rsid w:val="00326E64"/>
    <w:rPr>
      <w:b/>
      <w:bCs/>
      <w:spacing w:val="6"/>
      <w:sz w:val="22"/>
      <w:szCs w:val="18"/>
    </w:rPr>
  </w:style>
  <w:style w:type="character" w:customStyle="1" w:styleId="Heading4Char">
    <w:name w:val="Heading 4 Char"/>
    <w:basedOn w:val="DefaultParagraphFont"/>
    <w:link w:val="Heading4"/>
    <w:rsid w:val="00326E64"/>
    <w:rPr>
      <w:b/>
      <w:sz w:val="22"/>
      <w:szCs w:val="22"/>
    </w:rPr>
  </w:style>
  <w:style w:type="character" w:customStyle="1" w:styleId="Heading5Char">
    <w:name w:val="Heading 5 Char"/>
    <w:basedOn w:val="DefaultParagraphFont"/>
    <w:link w:val="Heading5"/>
    <w:rsid w:val="00326E64"/>
    <w:rPr>
      <w:i/>
      <w:sz w:val="22"/>
      <w:szCs w:val="22"/>
    </w:rPr>
  </w:style>
  <w:style w:type="character" w:customStyle="1" w:styleId="Heading6Char">
    <w:name w:val="Heading 6 Char"/>
    <w:basedOn w:val="DefaultParagraphFont"/>
    <w:link w:val="Heading6"/>
    <w:rsid w:val="00326E64"/>
    <w:rPr>
      <w:sz w:val="22"/>
      <w:szCs w:val="22"/>
      <w:u w:val="single"/>
    </w:rPr>
  </w:style>
  <w:style w:type="character" w:customStyle="1" w:styleId="Heading7Char">
    <w:name w:val="Heading 7 Char"/>
    <w:basedOn w:val="DefaultParagraphFont"/>
    <w:link w:val="Heading7"/>
    <w:rsid w:val="00326E64"/>
    <w:rPr>
      <w:b/>
      <w:sz w:val="22"/>
      <w:szCs w:val="22"/>
    </w:rPr>
  </w:style>
  <w:style w:type="numbering" w:customStyle="1" w:styleId="NoList1">
    <w:name w:val="No List1"/>
    <w:next w:val="NoList"/>
    <w:uiPriority w:val="99"/>
    <w:semiHidden/>
    <w:unhideWhenUsed/>
    <w:rsid w:val="00326E64"/>
  </w:style>
  <w:style w:type="character" w:styleId="PageNumber">
    <w:name w:val="page number"/>
    <w:rsid w:val="00326E64"/>
    <w:rPr>
      <w:rFonts w:ascii="Times New Roman" w:hAnsi="Times New Roman"/>
      <w:dstrike w:val="0"/>
      <w:color w:val="auto"/>
      <w:sz w:val="20"/>
      <w:vertAlign w:val="baseline"/>
    </w:rPr>
  </w:style>
  <w:style w:type="paragraph" w:styleId="Title">
    <w:name w:val="Title"/>
    <w:basedOn w:val="Normal"/>
    <w:link w:val="TitleChar"/>
    <w:qFormat/>
    <w:rsid w:val="00326E64"/>
    <w:pPr>
      <w:spacing w:after="120" w:line="259" w:lineRule="auto"/>
      <w:jc w:val="center"/>
    </w:pPr>
    <w:rPr>
      <w:b/>
      <w:caps/>
      <w:kern w:val="28"/>
      <w:sz w:val="28"/>
      <w:szCs w:val="22"/>
    </w:rPr>
  </w:style>
  <w:style w:type="character" w:customStyle="1" w:styleId="TitleChar">
    <w:name w:val="Title Char"/>
    <w:basedOn w:val="DefaultParagraphFont"/>
    <w:link w:val="Title"/>
    <w:rsid w:val="00326E64"/>
    <w:rPr>
      <w:b/>
      <w:caps/>
      <w:kern w:val="28"/>
      <w:sz w:val="28"/>
      <w:szCs w:val="22"/>
    </w:rPr>
  </w:style>
  <w:style w:type="paragraph" w:customStyle="1" w:styleId="Part">
    <w:name w:val="Part"/>
    <w:basedOn w:val="Title"/>
    <w:rsid w:val="00326E64"/>
    <w:pPr>
      <w:keepNext/>
      <w:keepLines/>
      <w:outlineLvl w:val="0"/>
    </w:pPr>
    <w:rPr>
      <w:caps w:val="0"/>
      <w:kern w:val="2"/>
    </w:rPr>
  </w:style>
  <w:style w:type="paragraph" w:customStyle="1" w:styleId="Chapter">
    <w:name w:val="Chapter"/>
    <w:basedOn w:val="Normal"/>
    <w:link w:val="ChapterChar"/>
    <w:rsid w:val="00326E64"/>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59" w:lineRule="auto"/>
      <w:ind w:left="144" w:right="144"/>
      <w:jc w:val="center"/>
      <w:outlineLvl w:val="1"/>
    </w:pPr>
    <w:rPr>
      <w:b/>
      <w:sz w:val="28"/>
      <w:szCs w:val="22"/>
    </w:rPr>
  </w:style>
  <w:style w:type="character" w:customStyle="1" w:styleId="ChapterChar">
    <w:name w:val="Chapter Char"/>
    <w:link w:val="Chapter"/>
    <w:rsid w:val="00326E64"/>
    <w:rPr>
      <w:b/>
      <w:sz w:val="28"/>
      <w:szCs w:val="22"/>
    </w:rPr>
  </w:style>
  <w:style w:type="paragraph" w:customStyle="1" w:styleId="Section">
    <w:name w:val="Section"/>
    <w:basedOn w:val="Normal"/>
    <w:link w:val="SectionChar"/>
    <w:rsid w:val="00326E64"/>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sz w:val="22"/>
      <w:szCs w:val="22"/>
    </w:rPr>
  </w:style>
  <w:style w:type="character" w:customStyle="1" w:styleId="SectionChar">
    <w:name w:val="Section Char"/>
    <w:link w:val="Section"/>
    <w:locked/>
    <w:rsid w:val="00326E64"/>
    <w:rPr>
      <w:b/>
      <w:sz w:val="22"/>
      <w:szCs w:val="22"/>
    </w:rPr>
  </w:style>
  <w:style w:type="paragraph" w:customStyle="1" w:styleId="Text">
    <w:name w:val="Text"/>
    <w:basedOn w:val="Normal"/>
    <w:link w:val="TextChar"/>
    <w:rsid w:val="00326E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sz w:val="22"/>
      <w:szCs w:val="22"/>
      <w:lang w:val="x-none" w:eastAsia="x-none"/>
    </w:rPr>
  </w:style>
  <w:style w:type="character" w:customStyle="1" w:styleId="TextChar">
    <w:name w:val="Text Char"/>
    <w:link w:val="Text"/>
    <w:locked/>
    <w:rsid w:val="00326E64"/>
    <w:rPr>
      <w:sz w:val="22"/>
      <w:szCs w:val="22"/>
      <w:lang w:val="x-none" w:eastAsia="x-none"/>
    </w:rPr>
  </w:style>
  <w:style w:type="paragraph" w:customStyle="1" w:styleId="Note">
    <w:name w:val="Note"/>
    <w:basedOn w:val="Normal"/>
    <w:rsid w:val="00326E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60" w:line="216" w:lineRule="exact"/>
      <w:ind w:firstLine="187"/>
      <w:jc w:val="both"/>
    </w:pPr>
    <w:rPr>
      <w:sz w:val="18"/>
      <w:szCs w:val="22"/>
    </w:rPr>
  </w:style>
  <w:style w:type="paragraph" w:customStyle="1" w:styleId="i">
    <w:name w:val="(i)."/>
    <w:basedOn w:val="Normal"/>
    <w:rsid w:val="00326E64"/>
    <w:pPr>
      <w:tabs>
        <w:tab w:val="left" w:pos="1080"/>
        <w:tab w:val="left" w:pos="1440"/>
      </w:tabs>
      <w:spacing w:after="120" w:line="259" w:lineRule="auto"/>
      <w:jc w:val="both"/>
      <w:outlineLvl w:val="8"/>
    </w:pPr>
    <w:rPr>
      <w:sz w:val="22"/>
      <w:szCs w:val="22"/>
    </w:rPr>
  </w:style>
  <w:style w:type="paragraph" w:customStyle="1" w:styleId="A">
    <w:name w:val="A."/>
    <w:basedOn w:val="Text"/>
    <w:link w:val="AChar"/>
    <w:rsid w:val="00326E64"/>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326E64"/>
    <w:rPr>
      <w:sz w:val="22"/>
      <w:szCs w:val="22"/>
      <w:lang w:val="x-none" w:eastAsia="x-none"/>
    </w:rPr>
  </w:style>
  <w:style w:type="paragraph" w:customStyle="1" w:styleId="1">
    <w:name w:val="1."/>
    <w:basedOn w:val="Text"/>
    <w:link w:val="1Char"/>
    <w:rsid w:val="00326E64"/>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326E64"/>
    <w:rPr>
      <w:sz w:val="22"/>
      <w:szCs w:val="22"/>
      <w:lang w:val="x-none" w:eastAsia="x-none"/>
    </w:rPr>
  </w:style>
  <w:style w:type="paragraph" w:customStyle="1" w:styleId="a0">
    <w:name w:val="a."/>
    <w:basedOn w:val="Text"/>
    <w:link w:val="aChar0"/>
    <w:rsid w:val="00326E64"/>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rsid w:val="00326E64"/>
    <w:rPr>
      <w:sz w:val="22"/>
      <w:szCs w:val="22"/>
      <w:lang w:val="x-none" w:eastAsia="x-none"/>
    </w:rPr>
  </w:style>
  <w:style w:type="paragraph" w:customStyle="1" w:styleId="i0">
    <w:name w:val="i."/>
    <w:basedOn w:val="Text"/>
    <w:rsid w:val="00326E64"/>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326E64"/>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link w:val="SubChapterChar"/>
    <w:rsid w:val="00326E64"/>
    <w:pPr>
      <w:keepNext/>
      <w:keepLines/>
      <w:outlineLvl w:val="1"/>
    </w:pPr>
    <w:rPr>
      <w:caps w:val="0"/>
      <w:lang w:val="x-none" w:eastAsia="x-none"/>
    </w:rPr>
  </w:style>
  <w:style w:type="character" w:customStyle="1" w:styleId="SubChapterChar">
    <w:name w:val="SubChapter Char"/>
    <w:link w:val="SubChapter"/>
    <w:rsid w:val="00326E64"/>
    <w:rPr>
      <w:b/>
      <w:kern w:val="28"/>
      <w:sz w:val="28"/>
      <w:szCs w:val="22"/>
      <w:lang w:val="x-none" w:eastAsia="x-none"/>
    </w:rPr>
  </w:style>
  <w:style w:type="paragraph" w:customStyle="1" w:styleId="Title1">
    <w:name w:val="Title1"/>
    <w:basedOn w:val="Title"/>
    <w:next w:val="Title2"/>
    <w:rsid w:val="00326E64"/>
    <w:pPr>
      <w:pageBreakBefore/>
      <w:spacing w:after="60"/>
    </w:pPr>
    <w:rPr>
      <w:caps w:val="0"/>
    </w:rPr>
  </w:style>
  <w:style w:type="paragraph" w:customStyle="1" w:styleId="Title2">
    <w:name w:val="Title2"/>
    <w:basedOn w:val="Chapter"/>
    <w:rsid w:val="00326E64"/>
    <w:pPr>
      <w:outlineLvl w:val="9"/>
    </w:pPr>
    <w:rPr>
      <w:caps/>
    </w:rPr>
  </w:style>
  <w:style w:type="paragraph" w:customStyle="1" w:styleId="AuthorityNote">
    <w:name w:val="Authority Note"/>
    <w:basedOn w:val="Note"/>
    <w:link w:val="AuthorityNoteChar"/>
    <w:rsid w:val="00326E64"/>
    <w:pPr>
      <w:spacing w:line="240" w:lineRule="auto"/>
    </w:pPr>
    <w:rPr>
      <w:lang w:val="x-none" w:eastAsia="x-none"/>
    </w:rPr>
  </w:style>
  <w:style w:type="character" w:customStyle="1" w:styleId="AuthorityNoteChar">
    <w:name w:val="Authority Note Char"/>
    <w:link w:val="AuthorityNote"/>
    <w:locked/>
    <w:rsid w:val="00326E64"/>
    <w:rPr>
      <w:sz w:val="18"/>
      <w:szCs w:val="22"/>
      <w:lang w:val="x-none" w:eastAsia="x-none"/>
    </w:rPr>
  </w:style>
  <w:style w:type="paragraph" w:customStyle="1" w:styleId="HistoricalNote">
    <w:name w:val="Historical Note"/>
    <w:basedOn w:val="Note"/>
    <w:link w:val="HistoricalNoteChar"/>
    <w:rsid w:val="00326E64"/>
    <w:pPr>
      <w:spacing w:after="60" w:line="240" w:lineRule="auto"/>
    </w:pPr>
  </w:style>
  <w:style w:type="character" w:customStyle="1" w:styleId="HistoricalNoteChar">
    <w:name w:val="Historical Note Char"/>
    <w:link w:val="HistoricalNote"/>
    <w:rsid w:val="00326E64"/>
    <w:rPr>
      <w:sz w:val="18"/>
      <w:szCs w:val="22"/>
    </w:rPr>
  </w:style>
  <w:style w:type="paragraph" w:customStyle="1" w:styleId="Part1">
    <w:name w:val="Part1"/>
    <w:basedOn w:val="Part"/>
    <w:rsid w:val="00326E64"/>
    <w:pPr>
      <w:outlineLvl w:val="9"/>
    </w:pPr>
  </w:style>
  <w:style w:type="paragraph" w:customStyle="1" w:styleId="TOCPart">
    <w:name w:val="TOCPart"/>
    <w:rsid w:val="00326E64"/>
    <w:pPr>
      <w:keepNext/>
      <w:keepLines/>
      <w:spacing w:before="240" w:after="240"/>
      <w:jc w:val="center"/>
    </w:pPr>
    <w:rPr>
      <w:rFonts w:ascii="Times New Roman" w:eastAsia="Times New Roman" w:hAnsi="Times New Roman" w:cs="Times New Roman"/>
      <w:b/>
      <w:noProof/>
      <w:kern w:val="2"/>
      <w:sz w:val="28"/>
      <w:szCs w:val="22"/>
    </w:rPr>
  </w:style>
  <w:style w:type="paragraph" w:customStyle="1" w:styleId="TOCChapter">
    <w:name w:val="TOCChapter"/>
    <w:rsid w:val="00326E64"/>
    <w:pPr>
      <w:tabs>
        <w:tab w:val="left" w:pos="1440"/>
        <w:tab w:val="right" w:leader="dot" w:pos="10512"/>
      </w:tabs>
      <w:spacing w:after="60"/>
      <w:ind w:left="1440" w:hanging="1440"/>
    </w:pPr>
    <w:rPr>
      <w:rFonts w:ascii="Times New Roman" w:eastAsia="Times New Roman" w:hAnsi="Times New Roman" w:cs="Times New Roman"/>
      <w:noProof/>
      <w:kern w:val="2"/>
      <w:szCs w:val="22"/>
    </w:rPr>
  </w:style>
  <w:style w:type="paragraph" w:customStyle="1" w:styleId="TOCSubChapter">
    <w:name w:val="TOCSubChapter"/>
    <w:basedOn w:val="TOCChapter"/>
    <w:rsid w:val="00326E64"/>
    <w:pPr>
      <w:tabs>
        <w:tab w:val="clear" w:pos="1440"/>
        <w:tab w:val="left" w:pos="2160"/>
      </w:tabs>
      <w:ind w:left="2160" w:hanging="1728"/>
    </w:pPr>
  </w:style>
  <w:style w:type="paragraph" w:customStyle="1" w:styleId="testcenter">
    <w:name w:val="testcenter"/>
    <w:basedOn w:val="i0"/>
    <w:rsid w:val="00326E64"/>
    <w:pPr>
      <w:tabs>
        <w:tab w:val="clear" w:pos="1080"/>
        <w:tab w:val="right" w:pos="720"/>
      </w:tabs>
    </w:pPr>
  </w:style>
  <w:style w:type="paragraph" w:customStyle="1" w:styleId="testdecimal">
    <w:name w:val="test decimal"/>
    <w:basedOn w:val="i0"/>
    <w:rsid w:val="00326E64"/>
    <w:pPr>
      <w:tabs>
        <w:tab w:val="right" w:pos="720"/>
      </w:tabs>
    </w:pPr>
  </w:style>
  <w:style w:type="paragraph" w:customStyle="1" w:styleId="LACNote">
    <w:name w:val="LACNote"/>
    <w:basedOn w:val="Normal"/>
    <w:link w:val="LACNoteChar"/>
    <w:rsid w:val="00326E64"/>
    <w:pPr>
      <w:spacing w:after="120" w:line="259" w:lineRule="auto"/>
      <w:ind w:firstLine="187"/>
      <w:jc w:val="both"/>
    </w:pPr>
    <w:rPr>
      <w:sz w:val="16"/>
      <w:szCs w:val="22"/>
      <w:lang w:val="x-none" w:eastAsia="x-none"/>
    </w:rPr>
  </w:style>
  <w:style w:type="character" w:customStyle="1" w:styleId="LACNoteChar">
    <w:name w:val="LACNote Char"/>
    <w:link w:val="LACNote"/>
    <w:rsid w:val="00326E64"/>
    <w:rPr>
      <w:sz w:val="16"/>
      <w:szCs w:val="22"/>
      <w:lang w:val="x-none" w:eastAsia="x-none"/>
    </w:rPr>
  </w:style>
  <w:style w:type="paragraph" w:customStyle="1" w:styleId="TOCIndex">
    <w:name w:val="TOCIndex"/>
    <w:basedOn w:val="TOCChapter"/>
    <w:rsid w:val="00326E64"/>
    <w:pPr>
      <w:spacing w:before="240"/>
    </w:pPr>
  </w:style>
  <w:style w:type="paragraph" w:customStyle="1" w:styleId="FooterOdd">
    <w:name w:val="FooterOdd"/>
    <w:basedOn w:val="Footer"/>
    <w:rsid w:val="00326E64"/>
    <w:pPr>
      <w:tabs>
        <w:tab w:val="clear" w:pos="4680"/>
        <w:tab w:val="clear" w:pos="9360"/>
        <w:tab w:val="left" w:pos="6030"/>
        <w:tab w:val="right" w:pos="10440"/>
      </w:tabs>
      <w:spacing w:before="60" w:after="160" w:line="259" w:lineRule="auto"/>
    </w:pPr>
    <w:rPr>
      <w:rFonts w:ascii="Arial" w:hAnsi="Arial"/>
      <w:i/>
      <w:sz w:val="16"/>
      <w:szCs w:val="22"/>
    </w:rPr>
  </w:style>
  <w:style w:type="paragraph" w:customStyle="1" w:styleId="FooterEven">
    <w:name w:val="FooterEven"/>
    <w:basedOn w:val="Footer"/>
    <w:rsid w:val="00326E64"/>
    <w:pPr>
      <w:tabs>
        <w:tab w:val="clear" w:pos="4680"/>
        <w:tab w:val="clear" w:pos="9360"/>
        <w:tab w:val="right" w:pos="4320"/>
      </w:tabs>
      <w:spacing w:before="60" w:after="160" w:line="259" w:lineRule="auto"/>
    </w:pPr>
    <w:rPr>
      <w:rFonts w:ascii="Arial" w:hAnsi="Arial"/>
      <w:i/>
      <w:sz w:val="16"/>
      <w:szCs w:val="22"/>
    </w:rPr>
  </w:style>
  <w:style w:type="paragraph" w:customStyle="1" w:styleId="iNew">
    <w:name w:val="i.New"/>
    <w:basedOn w:val="i0"/>
    <w:rsid w:val="00326E64"/>
    <w:pPr>
      <w:tabs>
        <w:tab w:val="decimal" w:pos="810"/>
      </w:tabs>
    </w:pPr>
  </w:style>
  <w:style w:type="paragraph" w:styleId="Index1">
    <w:name w:val="index 1"/>
    <w:basedOn w:val="Normal"/>
    <w:next w:val="Normal"/>
    <w:autoRedefine/>
    <w:rsid w:val="00326E64"/>
    <w:pPr>
      <w:spacing w:after="160" w:line="259" w:lineRule="auto"/>
      <w:ind w:left="240" w:hanging="240"/>
    </w:pPr>
    <w:rPr>
      <w:sz w:val="22"/>
      <w:szCs w:val="22"/>
    </w:rPr>
  </w:style>
  <w:style w:type="paragraph" w:customStyle="1" w:styleId="RegDoubleIndent">
    <w:name w:val="Reg Double Indent"/>
    <w:link w:val="RegDoubleIndentChar"/>
    <w:rsid w:val="00326E64"/>
    <w:pPr>
      <w:ind w:left="432" w:right="432"/>
      <w:jc w:val="both"/>
    </w:pPr>
    <w:rPr>
      <w:rFonts w:ascii="Times New Roman" w:eastAsia="Times New Roman" w:hAnsi="Times New Roman" w:cs="Times New Roman"/>
      <w:noProof/>
      <w:kern w:val="2"/>
      <w:sz w:val="20"/>
      <w:szCs w:val="22"/>
    </w:rPr>
  </w:style>
  <w:style w:type="character" w:customStyle="1" w:styleId="RegDoubleIndentChar">
    <w:name w:val="Reg Double Indent Char"/>
    <w:link w:val="RegDoubleIndent"/>
    <w:rsid w:val="00326E64"/>
    <w:rPr>
      <w:rFonts w:ascii="Times New Roman" w:eastAsia="Times New Roman" w:hAnsi="Times New Roman" w:cs="Times New Roman"/>
      <w:noProof/>
      <w:kern w:val="2"/>
      <w:sz w:val="20"/>
      <w:szCs w:val="22"/>
    </w:rPr>
  </w:style>
  <w:style w:type="character" w:customStyle="1" w:styleId="RedHidden">
    <w:name w:val="RedHidden"/>
    <w:rsid w:val="00326E64"/>
    <w:rPr>
      <w:vanish/>
      <w:color w:val="FF0000"/>
    </w:rPr>
  </w:style>
  <w:style w:type="paragraph" w:customStyle="1" w:styleId="Preformatted">
    <w:name w:val="Preformatted"/>
    <w:basedOn w:val="Normal"/>
    <w:rsid w:val="00326E64"/>
    <w:pPr>
      <w:widowControl w:val="0"/>
      <w:spacing w:after="160" w:line="480" w:lineRule="auto"/>
    </w:pPr>
    <w:rPr>
      <w:sz w:val="22"/>
      <w:szCs w:val="22"/>
    </w:rPr>
  </w:style>
  <w:style w:type="paragraph" w:styleId="ListBullet">
    <w:name w:val="List Bullet"/>
    <w:basedOn w:val="Normal"/>
    <w:autoRedefine/>
    <w:rsid w:val="00326E64"/>
    <w:pPr>
      <w:numPr>
        <w:numId w:val="10"/>
      </w:numPr>
      <w:tabs>
        <w:tab w:val="clear" w:pos="360"/>
      </w:tabs>
      <w:spacing w:after="160" w:line="259" w:lineRule="auto"/>
      <w:ind w:left="720" w:hanging="720"/>
    </w:pPr>
    <w:rPr>
      <w:sz w:val="22"/>
      <w:szCs w:val="22"/>
    </w:rPr>
  </w:style>
  <w:style w:type="paragraph" w:customStyle="1" w:styleId="ExoA">
    <w:name w:val="Exo A."/>
    <w:basedOn w:val="Normal"/>
    <w:rsid w:val="00326E64"/>
    <w:pPr>
      <w:tabs>
        <w:tab w:val="left" w:pos="936"/>
      </w:tabs>
      <w:spacing w:after="160" w:line="240" w:lineRule="exact"/>
      <w:ind w:left="360" w:right="360" w:firstLine="187"/>
      <w:jc w:val="both"/>
    </w:pPr>
    <w:rPr>
      <w:sz w:val="22"/>
      <w:szCs w:val="22"/>
    </w:rPr>
  </w:style>
  <w:style w:type="paragraph" w:customStyle="1" w:styleId="ExoNormal">
    <w:name w:val="Exo Normal"/>
    <w:rsid w:val="00326E64"/>
    <w:pPr>
      <w:tabs>
        <w:tab w:val="left" w:pos="1656"/>
      </w:tabs>
      <w:ind w:firstLine="360"/>
      <w:jc w:val="both"/>
    </w:pPr>
    <w:rPr>
      <w:rFonts w:ascii="Times New Roman" w:eastAsia="Times New Roman" w:hAnsi="Times New Roman" w:cs="Times New Roman"/>
      <w:noProof/>
      <w:kern w:val="2"/>
      <w:sz w:val="20"/>
      <w:szCs w:val="22"/>
    </w:rPr>
  </w:style>
  <w:style w:type="paragraph" w:customStyle="1" w:styleId="DD1">
    <w:name w:val="DD1"/>
    <w:rsid w:val="00326E64"/>
    <w:rPr>
      <w:rFonts w:ascii="Times New Roman" w:eastAsia="Times New Roman" w:hAnsi="Times New Roman" w:cs="Times New Roman"/>
      <w:noProof/>
      <w:kern w:val="2"/>
      <w:sz w:val="20"/>
      <w:szCs w:val="22"/>
    </w:rPr>
  </w:style>
  <w:style w:type="paragraph" w:customStyle="1" w:styleId="RegCodeTitle">
    <w:name w:val="Reg Code Title"/>
    <w:basedOn w:val="Normal"/>
    <w:next w:val="Normal"/>
    <w:link w:val="RegCodeTitleChar"/>
    <w:rsid w:val="00326E64"/>
    <w:pPr>
      <w:keepNext/>
      <w:spacing w:after="160" w:line="259" w:lineRule="auto"/>
      <w:jc w:val="center"/>
    </w:pPr>
    <w:rPr>
      <w:b/>
      <w:kern w:val="28"/>
      <w:sz w:val="22"/>
      <w:szCs w:val="22"/>
    </w:rPr>
  </w:style>
  <w:style w:type="character" w:customStyle="1" w:styleId="RegCodeTitleChar">
    <w:name w:val="Reg Code Title Char"/>
    <w:link w:val="RegCodeTitle"/>
    <w:rsid w:val="00326E64"/>
    <w:rPr>
      <w:b/>
      <w:kern w:val="28"/>
      <w:sz w:val="22"/>
      <w:szCs w:val="22"/>
    </w:rPr>
  </w:style>
  <w:style w:type="character" w:styleId="Strong">
    <w:name w:val="Strong"/>
    <w:qFormat/>
    <w:rsid w:val="00326E64"/>
    <w:rPr>
      <w:b/>
      <w:bCs/>
    </w:rPr>
  </w:style>
  <w:style w:type="paragraph" w:customStyle="1" w:styleId="RegCodePart">
    <w:name w:val="Reg Code Part"/>
    <w:rsid w:val="00326E64"/>
    <w:pPr>
      <w:keepNext/>
      <w:jc w:val="center"/>
    </w:pPr>
    <w:rPr>
      <w:rFonts w:ascii="Times New Roman" w:eastAsia="Times New Roman" w:hAnsi="Times New Roman" w:cs="Times New Roman"/>
      <w:b/>
      <w:noProof/>
      <w:kern w:val="2"/>
      <w:sz w:val="20"/>
      <w:szCs w:val="22"/>
    </w:rPr>
  </w:style>
  <w:style w:type="paragraph" w:customStyle="1" w:styleId="RegFE1">
    <w:name w:val="Reg F&amp;E 1"/>
    <w:rsid w:val="00326E64"/>
    <w:pPr>
      <w:ind w:left="288" w:hanging="288"/>
      <w:jc w:val="both"/>
    </w:pPr>
    <w:rPr>
      <w:rFonts w:ascii="Times New Roman" w:eastAsia="Times New Roman" w:hAnsi="Times New Roman" w:cs="Times New Roman"/>
      <w:noProof/>
      <w:spacing w:val="-10"/>
      <w:kern w:val="2"/>
      <w:sz w:val="18"/>
      <w:szCs w:val="22"/>
    </w:rPr>
  </w:style>
  <w:style w:type="paragraph" w:customStyle="1" w:styleId="RegFE2">
    <w:name w:val="Reg F&amp;E 2"/>
    <w:link w:val="RegFE2Char"/>
    <w:rsid w:val="00326E64"/>
    <w:pPr>
      <w:ind w:left="288" w:firstLine="288"/>
      <w:jc w:val="both"/>
    </w:pPr>
    <w:rPr>
      <w:rFonts w:ascii="Times New Roman" w:eastAsia="Times New Roman" w:hAnsi="Times New Roman" w:cs="Times New Roman"/>
      <w:noProof/>
      <w:kern w:val="2"/>
      <w:sz w:val="18"/>
      <w:szCs w:val="22"/>
    </w:rPr>
  </w:style>
  <w:style w:type="character" w:customStyle="1" w:styleId="RegFE2Char">
    <w:name w:val="Reg F&amp;E 2 Char"/>
    <w:link w:val="RegFE2"/>
    <w:rsid w:val="00326E64"/>
    <w:rPr>
      <w:rFonts w:ascii="Times New Roman" w:eastAsia="Times New Roman" w:hAnsi="Times New Roman" w:cs="Times New Roman"/>
      <w:noProof/>
      <w:kern w:val="2"/>
      <w:sz w:val="18"/>
      <w:szCs w:val="22"/>
    </w:rPr>
  </w:style>
  <w:style w:type="paragraph" w:customStyle="1" w:styleId="RegDepartment">
    <w:name w:val="Reg Department"/>
    <w:next w:val="RegSubDepartment"/>
    <w:rsid w:val="00326E64"/>
    <w:pPr>
      <w:keepNext/>
      <w:jc w:val="center"/>
    </w:pPr>
    <w:rPr>
      <w:rFonts w:ascii="Times New Roman" w:eastAsia="Times New Roman" w:hAnsi="Times New Roman" w:cs="Times New Roman"/>
      <w:b/>
      <w:noProof/>
      <w:kern w:val="2"/>
      <w:sz w:val="20"/>
      <w:szCs w:val="22"/>
    </w:rPr>
  </w:style>
  <w:style w:type="paragraph" w:customStyle="1" w:styleId="RegSubDepartment">
    <w:name w:val="Reg SubDepartment"/>
    <w:rsid w:val="00326E64"/>
    <w:pPr>
      <w:keepNext/>
      <w:spacing w:after="240"/>
      <w:jc w:val="center"/>
    </w:pPr>
    <w:rPr>
      <w:rFonts w:ascii="Times New Roman" w:eastAsia="Times New Roman" w:hAnsi="Times New Roman" w:cs="Times New Roman"/>
      <w:b/>
      <w:noProof/>
      <w:kern w:val="2"/>
      <w:sz w:val="22"/>
      <w:szCs w:val="22"/>
    </w:rPr>
  </w:style>
  <w:style w:type="paragraph" w:customStyle="1" w:styleId="RegItemTitle">
    <w:name w:val="Reg Item Title"/>
    <w:rsid w:val="00326E64"/>
    <w:pPr>
      <w:keepNext/>
      <w:spacing w:after="240"/>
      <w:jc w:val="center"/>
    </w:pPr>
    <w:rPr>
      <w:rFonts w:ascii="Times New Roman" w:eastAsia="Times New Roman" w:hAnsi="Times New Roman" w:cs="Times New Roman"/>
      <w:noProof/>
      <w:kern w:val="2"/>
      <w:sz w:val="20"/>
      <w:szCs w:val="22"/>
    </w:rPr>
  </w:style>
  <w:style w:type="paragraph" w:customStyle="1" w:styleId="RegItemFirstLine">
    <w:name w:val="Reg Item First Line"/>
    <w:next w:val="RegDepartment"/>
    <w:rsid w:val="00326E64"/>
    <w:pPr>
      <w:keepNext/>
      <w:tabs>
        <w:tab w:val="left" w:pos="-1440"/>
      </w:tabs>
      <w:spacing w:after="120"/>
      <w:jc w:val="center"/>
    </w:pPr>
    <w:rPr>
      <w:rFonts w:ascii="Times New Roman" w:eastAsia="Times New Roman" w:hAnsi="Times New Roman" w:cs="Times New Roman"/>
      <w:b/>
      <w:noProof/>
      <w:kern w:val="2"/>
      <w:sz w:val="20"/>
      <w:szCs w:val="22"/>
    </w:rPr>
  </w:style>
  <w:style w:type="paragraph" w:customStyle="1" w:styleId="RegSignature">
    <w:name w:val="Reg Signature"/>
    <w:basedOn w:val="Normal"/>
    <w:rsid w:val="00326E64"/>
    <w:pPr>
      <w:keepNext/>
      <w:spacing w:after="160" w:line="259" w:lineRule="auto"/>
      <w:ind w:left="2160"/>
      <w:jc w:val="both"/>
    </w:pPr>
    <w:rPr>
      <w:sz w:val="22"/>
      <w:szCs w:val="22"/>
    </w:rPr>
  </w:style>
  <w:style w:type="paragraph" w:customStyle="1" w:styleId="ExoSecOfState">
    <w:name w:val="Exo SecOfState"/>
    <w:rsid w:val="00326E64"/>
    <w:pPr>
      <w:keepNext/>
    </w:pPr>
    <w:rPr>
      <w:rFonts w:ascii="Times New Roman" w:eastAsia="Times New Roman" w:hAnsi="Times New Roman" w:cs="Times New Roman"/>
      <w:noProof/>
      <w:kern w:val="2"/>
      <w:sz w:val="20"/>
      <w:szCs w:val="22"/>
    </w:rPr>
  </w:style>
  <w:style w:type="paragraph" w:customStyle="1" w:styleId="RegLogNumber">
    <w:name w:val="Reg Log Number"/>
    <w:rsid w:val="00326E64"/>
    <w:rPr>
      <w:rFonts w:ascii="Times New Roman" w:eastAsia="Times New Roman" w:hAnsi="Times New Roman" w:cs="Times New Roman"/>
      <w:noProof/>
      <w:kern w:val="2"/>
      <w:sz w:val="16"/>
      <w:szCs w:val="22"/>
    </w:rPr>
  </w:style>
  <w:style w:type="paragraph" w:customStyle="1" w:styleId="RegSectionTitle">
    <w:name w:val="RegSectionTitle"/>
    <w:rsid w:val="00326E64"/>
    <w:pPr>
      <w:jc w:val="center"/>
    </w:pPr>
    <w:rPr>
      <w:rFonts w:ascii="Arial" w:eastAsia="Times New Roman" w:hAnsi="Arial" w:cs="Times New Roman"/>
      <w:b/>
      <w:noProof/>
      <w:kern w:val="2"/>
      <w:sz w:val="48"/>
      <w:szCs w:val="22"/>
    </w:rPr>
  </w:style>
  <w:style w:type="character" w:customStyle="1" w:styleId="TOC1">
    <w:name w:val="TOC1"/>
    <w:rsid w:val="00326E64"/>
    <w:rPr>
      <w:rFonts w:ascii="Arial" w:hAnsi="Arial"/>
      <w:b/>
      <w:kern w:val="2"/>
      <w:sz w:val="18"/>
    </w:rPr>
  </w:style>
  <w:style w:type="character" w:styleId="Emphasis">
    <w:name w:val="Emphasis"/>
    <w:qFormat/>
    <w:rsid w:val="00326E64"/>
    <w:rPr>
      <w:i/>
      <w:iCs/>
    </w:rPr>
  </w:style>
  <w:style w:type="character" w:customStyle="1" w:styleId="efilebold1">
    <w:name w:val="efilebold1"/>
    <w:rsid w:val="00326E64"/>
    <w:rPr>
      <w:b/>
      <w:bCs/>
      <w:i/>
      <w:iCs/>
    </w:rPr>
  </w:style>
  <w:style w:type="paragraph" w:styleId="TOC10">
    <w:name w:val="toc 1"/>
    <w:basedOn w:val="Normal"/>
    <w:next w:val="Section"/>
    <w:autoRedefine/>
    <w:uiPriority w:val="39"/>
    <w:rsid w:val="00326E64"/>
    <w:pPr>
      <w:spacing w:after="160" w:line="259" w:lineRule="auto"/>
    </w:pPr>
    <w:rPr>
      <w:sz w:val="22"/>
      <w:szCs w:val="22"/>
    </w:rPr>
  </w:style>
  <w:style w:type="paragraph" w:styleId="TOC2">
    <w:name w:val="toc 2"/>
    <w:basedOn w:val="Normal"/>
    <w:next w:val="Normal"/>
    <w:autoRedefine/>
    <w:uiPriority w:val="39"/>
    <w:rsid w:val="00326E64"/>
    <w:pPr>
      <w:tabs>
        <w:tab w:val="left" w:pos="1710"/>
        <w:tab w:val="right" w:leader="dot" w:pos="10502"/>
      </w:tabs>
      <w:spacing w:after="160" w:line="259" w:lineRule="auto"/>
      <w:ind w:left="1440" w:hanging="1166"/>
    </w:pPr>
    <w:rPr>
      <w:noProof/>
      <w:sz w:val="22"/>
      <w:szCs w:val="22"/>
    </w:rPr>
  </w:style>
  <w:style w:type="paragraph" w:styleId="TOC3">
    <w:name w:val="toc 3"/>
    <w:basedOn w:val="Normal"/>
    <w:next w:val="Normal"/>
    <w:autoRedefine/>
    <w:uiPriority w:val="39"/>
    <w:rsid w:val="00326E64"/>
    <w:pPr>
      <w:spacing w:after="160" w:line="259" w:lineRule="auto"/>
      <w:ind w:left="480"/>
    </w:pPr>
    <w:rPr>
      <w:sz w:val="22"/>
      <w:szCs w:val="22"/>
    </w:rPr>
  </w:style>
  <w:style w:type="character" w:styleId="Hyperlink">
    <w:name w:val="Hyperlink"/>
    <w:uiPriority w:val="99"/>
    <w:unhideWhenUsed/>
    <w:rsid w:val="00326E64"/>
    <w:rPr>
      <w:color w:val="0000FF"/>
      <w:u w:val="single"/>
    </w:rPr>
  </w:style>
  <w:style w:type="character" w:customStyle="1" w:styleId="sp">
    <w:name w:val="sp"/>
    <w:rsid w:val="00326E64"/>
    <w:rPr>
      <w:i/>
      <w:iCs/>
    </w:rPr>
  </w:style>
  <w:style w:type="character" w:customStyle="1" w:styleId="genus">
    <w:name w:val="genus"/>
    <w:rsid w:val="00326E64"/>
    <w:rPr>
      <w:i/>
      <w:iCs/>
    </w:rPr>
  </w:style>
  <w:style w:type="character" w:customStyle="1" w:styleId="p1">
    <w:name w:val="p1"/>
    <w:basedOn w:val="DefaultParagraphFont"/>
    <w:rsid w:val="00326E64"/>
  </w:style>
  <w:style w:type="paragraph" w:customStyle="1" w:styleId="Appendix">
    <w:name w:val="Appendix"/>
    <w:basedOn w:val="Chapter"/>
    <w:rsid w:val="00326E64"/>
  </w:style>
  <w:style w:type="paragraph" w:customStyle="1" w:styleId="TOCSection">
    <w:name w:val="TOCSection"/>
    <w:basedOn w:val="TOCChapter"/>
    <w:rsid w:val="00326E64"/>
  </w:style>
  <w:style w:type="paragraph" w:customStyle="1" w:styleId="RedRight">
    <w:name w:val="RedRight"/>
    <w:rsid w:val="00326E64"/>
    <w:pPr>
      <w:widowControl w:val="0"/>
      <w:autoSpaceDE w:val="0"/>
      <w:autoSpaceDN w:val="0"/>
      <w:adjustRightInd w:val="0"/>
      <w:spacing w:before="180"/>
      <w:jc w:val="right"/>
    </w:pPr>
    <w:rPr>
      <w:rFonts w:ascii="Times New Roman" w:eastAsia="Times New Roman" w:hAnsi="Times New Roman" w:cs="Times New Roman"/>
      <w:color w:val="FF0000"/>
      <w:kern w:val="2"/>
      <w:sz w:val="20"/>
      <w:szCs w:val="22"/>
    </w:rPr>
  </w:style>
  <w:style w:type="paragraph" w:styleId="BodyTextIndent">
    <w:name w:val="Body Text Indent"/>
    <w:basedOn w:val="Normal"/>
    <w:link w:val="BodyTextIndentChar"/>
    <w:rsid w:val="00326E64"/>
    <w:pPr>
      <w:spacing w:after="160" w:line="259" w:lineRule="auto"/>
      <w:ind w:left="1080"/>
    </w:pPr>
    <w:rPr>
      <w:sz w:val="22"/>
      <w:szCs w:val="22"/>
    </w:rPr>
  </w:style>
  <w:style w:type="character" w:customStyle="1" w:styleId="BodyTextIndentChar">
    <w:name w:val="Body Text Indent Char"/>
    <w:basedOn w:val="DefaultParagraphFont"/>
    <w:link w:val="BodyTextIndent"/>
    <w:rsid w:val="00326E64"/>
    <w:rPr>
      <w:sz w:val="22"/>
      <w:szCs w:val="22"/>
    </w:rPr>
  </w:style>
  <w:style w:type="paragraph" w:customStyle="1" w:styleId="IndentFirst125">
    <w:name w:val="Indent First .125"/>
    <w:rsid w:val="00326E64"/>
    <w:pPr>
      <w:widowControl w:val="0"/>
      <w:autoSpaceDE w:val="0"/>
      <w:autoSpaceDN w:val="0"/>
      <w:adjustRightInd w:val="0"/>
      <w:ind w:firstLine="180"/>
    </w:pPr>
    <w:rPr>
      <w:rFonts w:ascii="Times New Roman" w:eastAsia="Times New Roman" w:hAnsi="Times New Roman" w:cs="Times New Roman"/>
      <w:kern w:val="2"/>
    </w:rPr>
  </w:style>
  <w:style w:type="paragraph" w:customStyle="1" w:styleId="Level1">
    <w:name w:val="Level 1"/>
    <w:basedOn w:val="Normal"/>
    <w:rsid w:val="00326E64"/>
    <w:pPr>
      <w:widowControl w:val="0"/>
      <w:tabs>
        <w:tab w:val="num" w:pos="360"/>
      </w:tabs>
      <w:autoSpaceDE w:val="0"/>
      <w:autoSpaceDN w:val="0"/>
      <w:adjustRightInd w:val="0"/>
      <w:spacing w:after="160" w:line="259" w:lineRule="auto"/>
      <w:ind w:left="720" w:hanging="720"/>
      <w:outlineLvl w:val="0"/>
    </w:pPr>
    <w:rPr>
      <w:sz w:val="22"/>
    </w:rPr>
  </w:style>
  <w:style w:type="paragraph" w:customStyle="1" w:styleId="Level2">
    <w:name w:val="Level 2"/>
    <w:basedOn w:val="Normal"/>
    <w:rsid w:val="00326E64"/>
    <w:pPr>
      <w:widowControl w:val="0"/>
      <w:numPr>
        <w:numId w:val="11"/>
      </w:numPr>
      <w:tabs>
        <w:tab w:val="clear" w:pos="600"/>
        <w:tab w:val="num" w:pos="720"/>
      </w:tabs>
      <w:autoSpaceDE w:val="0"/>
      <w:autoSpaceDN w:val="0"/>
      <w:adjustRightInd w:val="0"/>
      <w:spacing w:after="160" w:line="259" w:lineRule="auto"/>
      <w:ind w:left="720" w:hanging="720"/>
      <w:outlineLvl w:val="1"/>
    </w:pPr>
    <w:rPr>
      <w:sz w:val="22"/>
    </w:rPr>
  </w:style>
  <w:style w:type="character" w:customStyle="1" w:styleId="HistoricalN">
    <w:name w:val="Historical N"/>
    <w:rsid w:val="00326E64"/>
  </w:style>
  <w:style w:type="paragraph" w:customStyle="1" w:styleId="WP9Header">
    <w:name w:val="WP9_Header"/>
    <w:basedOn w:val="Normal"/>
    <w:rsid w:val="00326E64"/>
    <w:pPr>
      <w:tabs>
        <w:tab w:val="center" w:pos="4320"/>
        <w:tab w:val="right" w:pos="8640"/>
        <w:tab w:val="right" w:pos="9360"/>
      </w:tabs>
      <w:spacing w:after="160" w:line="259" w:lineRule="auto"/>
    </w:pPr>
    <w:rPr>
      <w:sz w:val="22"/>
      <w:szCs w:val="22"/>
    </w:rPr>
  </w:style>
  <w:style w:type="character" w:customStyle="1" w:styleId="AuthorityNo">
    <w:name w:val="Authority No"/>
    <w:rsid w:val="00326E64"/>
  </w:style>
  <w:style w:type="character" w:customStyle="1" w:styleId="BalloonTextChar1">
    <w:name w:val="Balloon Text Char1"/>
    <w:rsid w:val="00326E64"/>
    <w:rPr>
      <w:rFonts w:ascii="Tahoma" w:hAnsi="Tahoma" w:cs="Tahoma"/>
      <w:sz w:val="16"/>
      <w:szCs w:val="16"/>
    </w:rPr>
  </w:style>
  <w:style w:type="character" w:styleId="FootnoteReference">
    <w:name w:val="footnote reference"/>
    <w:rsid w:val="00326E64"/>
  </w:style>
  <w:style w:type="paragraph" w:styleId="BodyText2">
    <w:name w:val="Body Text 2"/>
    <w:basedOn w:val="Normal"/>
    <w:link w:val="BodyText2Char"/>
    <w:rsid w:val="00326E64"/>
    <w:pPr>
      <w:widowControl w:val="0"/>
      <w:autoSpaceDE w:val="0"/>
      <w:autoSpaceDN w:val="0"/>
      <w:adjustRightInd w:val="0"/>
      <w:spacing w:after="160" w:line="259" w:lineRule="auto"/>
      <w:jc w:val="both"/>
    </w:pPr>
    <w:rPr>
      <w:rFonts w:ascii="Arial" w:hAnsi="Arial" w:cs="Arial"/>
      <w:sz w:val="22"/>
      <w:szCs w:val="22"/>
    </w:rPr>
  </w:style>
  <w:style w:type="character" w:customStyle="1" w:styleId="BodyText2Char">
    <w:name w:val="Body Text 2 Char"/>
    <w:basedOn w:val="DefaultParagraphFont"/>
    <w:link w:val="BodyText2"/>
    <w:rsid w:val="00326E64"/>
    <w:rPr>
      <w:rFonts w:ascii="Arial" w:hAnsi="Arial" w:cs="Arial"/>
      <w:sz w:val="22"/>
      <w:szCs w:val="22"/>
    </w:rPr>
  </w:style>
  <w:style w:type="character" w:customStyle="1" w:styleId="div6head">
    <w:name w:val="div6head"/>
    <w:basedOn w:val="DefaultParagraphFont"/>
    <w:rsid w:val="00326E64"/>
  </w:style>
  <w:style w:type="paragraph" w:customStyle="1" w:styleId="Style1">
    <w:name w:val="Style 1"/>
    <w:basedOn w:val="Normal"/>
    <w:rsid w:val="00326E64"/>
    <w:pPr>
      <w:widowControl w:val="0"/>
      <w:autoSpaceDE w:val="0"/>
      <w:autoSpaceDN w:val="0"/>
      <w:adjustRightInd w:val="0"/>
      <w:spacing w:after="160" w:line="259" w:lineRule="auto"/>
    </w:pPr>
    <w:rPr>
      <w:sz w:val="22"/>
    </w:rPr>
  </w:style>
  <w:style w:type="character" w:customStyle="1" w:styleId="text0">
    <w:name w:val="text"/>
    <w:basedOn w:val="DefaultParagraphFont"/>
    <w:rsid w:val="00326E64"/>
  </w:style>
  <w:style w:type="character" w:customStyle="1" w:styleId="CharacterStyle4">
    <w:name w:val="Character Style 4"/>
    <w:rsid w:val="00326E64"/>
    <w:rPr>
      <w:rFonts w:ascii="Garamond" w:hAnsi="Garamond" w:cs="Garamond"/>
      <w:sz w:val="24"/>
      <w:szCs w:val="24"/>
    </w:rPr>
  </w:style>
  <w:style w:type="character" w:customStyle="1" w:styleId="CharacterStyle2">
    <w:name w:val="Character Style 2"/>
    <w:rsid w:val="00326E64"/>
    <w:rPr>
      <w:rFonts w:ascii="Garamond" w:hAnsi="Garamond" w:cs="Garamond"/>
      <w:sz w:val="24"/>
      <w:szCs w:val="24"/>
    </w:rPr>
  </w:style>
  <w:style w:type="character" w:customStyle="1" w:styleId="CharacterStyle3">
    <w:name w:val="Character Style 3"/>
    <w:rsid w:val="00326E64"/>
    <w:rPr>
      <w:rFonts w:ascii="Garamond" w:hAnsi="Garamond" w:cs="Garamond"/>
      <w:sz w:val="21"/>
      <w:szCs w:val="21"/>
    </w:rPr>
  </w:style>
  <w:style w:type="character" w:customStyle="1" w:styleId="CharacterStyle1">
    <w:name w:val="Character Style 1"/>
    <w:rsid w:val="00326E64"/>
    <w:rPr>
      <w:rFonts w:ascii="Garamond" w:hAnsi="Garamond" w:cs="Garamond"/>
      <w:sz w:val="23"/>
      <w:szCs w:val="23"/>
    </w:rPr>
  </w:style>
  <w:style w:type="character" w:customStyle="1" w:styleId="CharacterStyle7">
    <w:name w:val="Character Style 7"/>
    <w:rsid w:val="00326E64"/>
    <w:rPr>
      <w:b/>
      <w:bCs/>
      <w:sz w:val="21"/>
      <w:szCs w:val="21"/>
    </w:rPr>
  </w:style>
  <w:style w:type="character" w:customStyle="1" w:styleId="CharacterStyle6">
    <w:name w:val="Character Style 6"/>
    <w:rsid w:val="00326E64"/>
    <w:rPr>
      <w:rFonts w:ascii="Garamond" w:hAnsi="Garamond" w:cs="Garamond"/>
      <w:sz w:val="21"/>
      <w:szCs w:val="21"/>
    </w:rPr>
  </w:style>
  <w:style w:type="paragraph" w:styleId="BodyText">
    <w:name w:val="Body Text"/>
    <w:basedOn w:val="Normal"/>
    <w:link w:val="BodyTextChar"/>
    <w:rsid w:val="00326E64"/>
    <w:pPr>
      <w:spacing w:after="120" w:line="259" w:lineRule="auto"/>
    </w:pPr>
    <w:rPr>
      <w:sz w:val="22"/>
      <w:szCs w:val="22"/>
    </w:rPr>
  </w:style>
  <w:style w:type="character" w:customStyle="1" w:styleId="BodyTextChar">
    <w:name w:val="Body Text Char"/>
    <w:basedOn w:val="DefaultParagraphFont"/>
    <w:link w:val="BodyText"/>
    <w:rsid w:val="00326E64"/>
    <w:rPr>
      <w:sz w:val="22"/>
      <w:szCs w:val="22"/>
    </w:rPr>
  </w:style>
  <w:style w:type="paragraph" w:customStyle="1" w:styleId="Default">
    <w:name w:val="Default"/>
    <w:rsid w:val="00326E64"/>
    <w:pPr>
      <w:widowControl w:val="0"/>
      <w:autoSpaceDE w:val="0"/>
      <w:autoSpaceDN w:val="0"/>
      <w:adjustRightInd w:val="0"/>
    </w:pPr>
    <w:rPr>
      <w:rFonts w:ascii="Times New Roman" w:eastAsia="Times New Roman" w:hAnsi="Times New Roman" w:cs="Times New Roman"/>
      <w:color w:val="000000"/>
      <w:kern w:val="2"/>
    </w:rPr>
  </w:style>
  <w:style w:type="paragraph" w:styleId="TOC4">
    <w:name w:val="toc 4"/>
    <w:basedOn w:val="Normal"/>
    <w:next w:val="Normal"/>
    <w:autoRedefine/>
    <w:uiPriority w:val="39"/>
    <w:unhideWhenUsed/>
    <w:rsid w:val="00326E64"/>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326E64"/>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326E64"/>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326E64"/>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326E64"/>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326E64"/>
    <w:pPr>
      <w:spacing w:after="100" w:line="276" w:lineRule="auto"/>
      <w:ind w:left="1760"/>
    </w:pPr>
    <w:rPr>
      <w:rFonts w:ascii="Calibri" w:hAnsi="Calibri"/>
      <w:sz w:val="22"/>
      <w:szCs w:val="22"/>
    </w:rPr>
  </w:style>
  <w:style w:type="paragraph" w:styleId="Subtitle">
    <w:name w:val="Subtitle"/>
    <w:basedOn w:val="Normal"/>
    <w:next w:val="Normal"/>
    <w:link w:val="SubtitleChar"/>
    <w:qFormat/>
    <w:rsid w:val="00326E64"/>
    <w:pPr>
      <w:tabs>
        <w:tab w:val="left" w:pos="180"/>
        <w:tab w:val="left" w:pos="2520"/>
      </w:tabs>
      <w:spacing w:after="160" w:line="259" w:lineRule="auto"/>
    </w:pPr>
    <w:rPr>
      <w:sz w:val="22"/>
      <w:lang w:val="x-none" w:eastAsia="x-none"/>
    </w:rPr>
  </w:style>
  <w:style w:type="character" w:customStyle="1" w:styleId="SubtitleChar">
    <w:name w:val="Subtitle Char"/>
    <w:basedOn w:val="DefaultParagraphFont"/>
    <w:link w:val="Subtitle"/>
    <w:rsid w:val="00326E64"/>
    <w:rPr>
      <w:sz w:val="22"/>
      <w:lang w:val="x-none" w:eastAsia="x-none"/>
    </w:rPr>
  </w:style>
  <w:style w:type="paragraph" w:styleId="NormalWeb">
    <w:name w:val="Normal (Web)"/>
    <w:basedOn w:val="Normal"/>
    <w:uiPriority w:val="99"/>
    <w:unhideWhenUsed/>
    <w:rsid w:val="00326E64"/>
    <w:pPr>
      <w:spacing w:before="100" w:beforeAutospacing="1" w:after="100" w:afterAutospacing="1" w:line="259" w:lineRule="auto"/>
    </w:pPr>
    <w:rPr>
      <w:sz w:val="22"/>
    </w:rPr>
  </w:style>
  <w:style w:type="paragraph" w:styleId="ListParagraph">
    <w:name w:val="List Paragraph"/>
    <w:basedOn w:val="Normal"/>
    <w:uiPriority w:val="34"/>
    <w:qFormat/>
    <w:rsid w:val="00326E64"/>
    <w:pPr>
      <w:spacing w:after="160" w:line="259" w:lineRule="auto"/>
      <w:ind w:left="720"/>
      <w:contextualSpacing/>
    </w:pPr>
    <w:rPr>
      <w:sz w:val="22"/>
      <w:szCs w:val="22"/>
    </w:rPr>
  </w:style>
  <w:style w:type="numbering" w:customStyle="1" w:styleId="NoList11">
    <w:name w:val="No List11"/>
    <w:next w:val="NoList"/>
    <w:uiPriority w:val="99"/>
    <w:semiHidden/>
    <w:unhideWhenUsed/>
    <w:rsid w:val="00326E64"/>
  </w:style>
  <w:style w:type="paragraph" w:styleId="Index2">
    <w:name w:val="index 2"/>
    <w:basedOn w:val="Normal"/>
    <w:next w:val="Normal"/>
    <w:autoRedefine/>
    <w:semiHidden/>
    <w:rsid w:val="00326E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right" w:leader="dot" w:pos="4886"/>
        <w:tab w:val="left" w:pos="5040"/>
        <w:tab w:val="left" w:pos="5220"/>
        <w:tab w:val="left" w:pos="5400"/>
        <w:tab w:val="left" w:pos="5580"/>
        <w:tab w:val="left" w:pos="5760"/>
        <w:tab w:val="left" w:pos="5940"/>
        <w:tab w:val="left" w:pos="6120"/>
        <w:tab w:val="left" w:pos="6300"/>
        <w:tab w:val="left" w:pos="6480"/>
        <w:tab w:val="left" w:pos="6660"/>
        <w:tab w:val="left" w:pos="6840"/>
        <w:tab w:val="left" w:leader="dot" w:pos="7020"/>
      </w:tabs>
      <w:ind w:left="480" w:hanging="240"/>
    </w:pPr>
    <w:rPr>
      <w:rFonts w:ascii="Times New Roman" w:eastAsia="Times New Roman" w:hAnsi="Times New Roman" w:cs="Times New Roman"/>
      <w:noProof/>
      <w:sz w:val="20"/>
      <w:szCs w:val="20"/>
    </w:rPr>
  </w:style>
  <w:style w:type="table" w:customStyle="1" w:styleId="TableGrid1">
    <w:name w:val="Table Grid1"/>
    <w:basedOn w:val="TableNormal"/>
    <w:next w:val="TableGrid"/>
    <w:rsid w:val="00326E6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26E64"/>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26E64"/>
  </w:style>
  <w:style w:type="numbering" w:customStyle="1" w:styleId="NoList111">
    <w:name w:val="No List111"/>
    <w:next w:val="NoList"/>
    <w:uiPriority w:val="99"/>
    <w:semiHidden/>
    <w:unhideWhenUsed/>
    <w:rsid w:val="00326E64"/>
  </w:style>
  <w:style w:type="table" w:customStyle="1" w:styleId="TableGrid2">
    <w:name w:val="Table Grid2"/>
    <w:basedOn w:val="TableNormal"/>
    <w:next w:val="TableGrid"/>
    <w:rsid w:val="00326E6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879B2-06D2-4727-8BBE-5A5D3C002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218</Pages>
  <Words>47470</Words>
  <Characters>270580</Characters>
  <Application>Microsoft Office Word</Application>
  <DocSecurity>0</DocSecurity>
  <Lines>2254</Lines>
  <Paragraphs>634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Frugé</dc:creator>
  <cp:keywords/>
  <dc:description/>
  <cp:lastModifiedBy>Laura Almond</cp:lastModifiedBy>
  <cp:revision>3</cp:revision>
  <cp:lastPrinted>2025-04-03T13:34:00Z</cp:lastPrinted>
  <dcterms:created xsi:type="dcterms:W3CDTF">2025-08-06T18:26:00Z</dcterms:created>
  <dcterms:modified xsi:type="dcterms:W3CDTF">2025-08-06T18:27:00Z</dcterms:modified>
</cp:coreProperties>
</file>