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670C6" w14:textId="77777777" w:rsidR="00074A31" w:rsidRPr="00074A31" w:rsidRDefault="00074A31" w:rsidP="00074A31">
      <w:pPr>
        <w:jc w:val="center"/>
        <w:rPr>
          <w:rFonts w:ascii="Times New Roman" w:eastAsia="Times New Roman" w:hAnsi="Times New Roman" w:cs="Times New Roman"/>
          <w:szCs w:val="20"/>
        </w:rPr>
      </w:pPr>
      <w:bookmarkStart w:id="0" w:name="_GoBack"/>
      <w:bookmarkEnd w:id="0"/>
      <w:r w:rsidRPr="00074A31">
        <w:rPr>
          <w:rFonts w:ascii="Times New Roman" w:eastAsia="Times New Roman" w:hAnsi="Times New Roman" w:cs="Times New Roman"/>
          <w:szCs w:val="20"/>
        </w:rPr>
        <w:t>NOTICE OF INTENT</w:t>
      </w:r>
    </w:p>
    <w:p w14:paraId="59B1443B" w14:textId="77777777" w:rsidR="00074A31" w:rsidRPr="00074A31" w:rsidRDefault="00074A31" w:rsidP="00074A31">
      <w:pPr>
        <w:jc w:val="center"/>
        <w:rPr>
          <w:rFonts w:ascii="Times New Roman" w:eastAsia="Times New Roman" w:hAnsi="Times New Roman" w:cs="Times New Roman"/>
          <w:szCs w:val="20"/>
        </w:rPr>
      </w:pPr>
    </w:p>
    <w:p w14:paraId="00935F48" w14:textId="77777777" w:rsidR="00074A31" w:rsidRPr="00074A31" w:rsidRDefault="00074A31" w:rsidP="00074A31">
      <w:pPr>
        <w:jc w:val="center"/>
        <w:rPr>
          <w:rFonts w:ascii="Times New Roman" w:eastAsia="Times New Roman" w:hAnsi="Times New Roman" w:cs="Times New Roman"/>
          <w:szCs w:val="20"/>
        </w:rPr>
      </w:pPr>
      <w:r w:rsidRPr="00074A31">
        <w:rPr>
          <w:rFonts w:ascii="Times New Roman" w:eastAsia="Times New Roman" w:hAnsi="Times New Roman" w:cs="Times New Roman"/>
          <w:szCs w:val="20"/>
        </w:rPr>
        <w:t>Department of Environmental Quality</w:t>
      </w:r>
    </w:p>
    <w:p w14:paraId="30BB0A73" w14:textId="77777777" w:rsidR="00074A31" w:rsidRPr="00074A31" w:rsidRDefault="00074A31" w:rsidP="00074A31">
      <w:pPr>
        <w:jc w:val="center"/>
        <w:rPr>
          <w:rFonts w:ascii="Times New Roman" w:eastAsia="Times New Roman" w:hAnsi="Times New Roman" w:cs="Times New Roman"/>
          <w:szCs w:val="20"/>
        </w:rPr>
      </w:pPr>
      <w:r w:rsidRPr="00074A31">
        <w:rPr>
          <w:rFonts w:ascii="Times New Roman" w:eastAsia="Times New Roman" w:hAnsi="Times New Roman" w:cs="Times New Roman"/>
          <w:szCs w:val="20"/>
        </w:rPr>
        <w:t>Office of the Secretary</w:t>
      </w:r>
    </w:p>
    <w:p w14:paraId="128CA796" w14:textId="77777777" w:rsidR="00074A31" w:rsidRPr="00074A31" w:rsidRDefault="00074A31" w:rsidP="00074A31">
      <w:pPr>
        <w:jc w:val="center"/>
        <w:rPr>
          <w:rFonts w:ascii="Times New Roman" w:eastAsia="Times New Roman" w:hAnsi="Times New Roman" w:cs="Times New Roman"/>
          <w:szCs w:val="20"/>
        </w:rPr>
      </w:pPr>
      <w:r w:rsidRPr="00074A31">
        <w:rPr>
          <w:rFonts w:ascii="Times New Roman" w:eastAsia="Times New Roman" w:hAnsi="Times New Roman" w:cs="Times New Roman"/>
          <w:szCs w:val="20"/>
        </w:rPr>
        <w:t>Legal Affairs Division</w:t>
      </w:r>
    </w:p>
    <w:p w14:paraId="3905E140" w14:textId="77777777" w:rsidR="00074A31" w:rsidRPr="00074A31" w:rsidRDefault="00074A31" w:rsidP="00074A31">
      <w:pPr>
        <w:jc w:val="center"/>
        <w:rPr>
          <w:rFonts w:ascii="Times New Roman" w:eastAsia="Times New Roman" w:hAnsi="Times New Roman" w:cs="Times New Roman"/>
          <w:szCs w:val="20"/>
        </w:rPr>
      </w:pPr>
    </w:p>
    <w:p w14:paraId="74CEA35E" w14:textId="77777777" w:rsidR="00593C8F" w:rsidRPr="000729D6" w:rsidRDefault="00593C8F" w:rsidP="00593C8F">
      <w:pPr>
        <w:jc w:val="center"/>
        <w:rPr>
          <w:rFonts w:ascii="Times New Roman" w:eastAsia="Times New Roman" w:hAnsi="Times New Roman" w:cs="Times New Roman"/>
          <w:szCs w:val="20"/>
        </w:rPr>
      </w:pPr>
      <w:r>
        <w:rPr>
          <w:rFonts w:ascii="Times New Roman" w:eastAsia="Times New Roman" w:hAnsi="Times New Roman" w:cs="Times New Roman"/>
          <w:noProof/>
          <w:szCs w:val="20"/>
        </w:rPr>
        <w:t>One-Time Exclusion of Wastes</w:t>
      </w:r>
      <w:r w:rsidRPr="000729D6">
        <w:rPr>
          <w:rFonts w:ascii="Times New Roman" w:eastAsia="Times New Roman" w:hAnsi="Times New Roman" w:cs="Times New Roman"/>
          <w:noProof/>
          <w:szCs w:val="20"/>
        </w:rPr>
        <w:t xml:space="preserve"> for Chevron Oronite Co LLC - Oak Point Plant</w:t>
      </w:r>
    </w:p>
    <w:p w14:paraId="3F07B48C" w14:textId="365E317A" w:rsidR="00074A31" w:rsidRPr="00074A31" w:rsidRDefault="00593C8F" w:rsidP="00593C8F">
      <w:pPr>
        <w:jc w:val="center"/>
        <w:rPr>
          <w:rFonts w:ascii="Times New Roman" w:eastAsia="Times New Roman" w:hAnsi="Times New Roman" w:cs="Times New Roman"/>
          <w:szCs w:val="20"/>
        </w:rPr>
      </w:pPr>
      <w:r w:rsidRPr="00074A31">
        <w:rPr>
          <w:rFonts w:ascii="Times New Roman" w:eastAsia="Times New Roman" w:hAnsi="Times New Roman" w:cs="Times New Roman"/>
          <w:szCs w:val="20"/>
        </w:rPr>
        <w:t xml:space="preserve"> </w:t>
      </w:r>
      <w:r w:rsidR="00074A31" w:rsidRPr="00074A31">
        <w:rPr>
          <w:rFonts w:ascii="Times New Roman" w:eastAsia="Times New Roman" w:hAnsi="Times New Roman" w:cs="Times New Roman"/>
          <w:szCs w:val="20"/>
        </w:rPr>
        <w:t>(</w:t>
      </w:r>
      <w:r w:rsidR="00074A31" w:rsidRPr="00074A31">
        <w:rPr>
          <w:rFonts w:ascii="Times New Roman" w:eastAsia="Times New Roman" w:hAnsi="Times New Roman" w:cs="Times New Roman"/>
          <w:noProof/>
          <w:szCs w:val="20"/>
        </w:rPr>
        <w:t>LAC 33:V.4999.Appendix E. Table 2</w:t>
      </w:r>
      <w:r w:rsidR="00074A31" w:rsidRPr="00074A31">
        <w:rPr>
          <w:rFonts w:ascii="Times New Roman" w:eastAsia="Times New Roman" w:hAnsi="Times New Roman" w:cs="Times New Roman"/>
          <w:szCs w:val="20"/>
        </w:rPr>
        <w:t>) (</w:t>
      </w:r>
      <w:r w:rsidR="00074A31" w:rsidRPr="00074A31">
        <w:rPr>
          <w:rFonts w:ascii="Times New Roman" w:eastAsia="Times New Roman" w:hAnsi="Times New Roman" w:cs="Times New Roman"/>
          <w:noProof/>
          <w:szCs w:val="20"/>
        </w:rPr>
        <w:t>HW138</w:t>
      </w:r>
      <w:r w:rsidR="00074A31" w:rsidRPr="00074A31">
        <w:rPr>
          <w:rFonts w:ascii="Times New Roman" w:eastAsia="Times New Roman" w:hAnsi="Times New Roman" w:cs="Times New Roman"/>
          <w:szCs w:val="20"/>
        </w:rPr>
        <w:t>)</w:t>
      </w:r>
    </w:p>
    <w:p w14:paraId="25A646C9" w14:textId="77777777" w:rsidR="00074A31" w:rsidRPr="00074A31" w:rsidRDefault="00074A31" w:rsidP="00074A31">
      <w:pPr>
        <w:jc w:val="center"/>
        <w:rPr>
          <w:rFonts w:ascii="Times New Roman" w:eastAsia="Times New Roman" w:hAnsi="Times New Roman" w:cs="Times New Roman"/>
          <w:szCs w:val="20"/>
        </w:rPr>
      </w:pPr>
    </w:p>
    <w:p w14:paraId="76F66462" w14:textId="77777777" w:rsidR="00074A31" w:rsidRPr="00074A31" w:rsidRDefault="00074A31" w:rsidP="00074A31">
      <w:pPr>
        <w:rPr>
          <w:rFonts w:ascii="Times New Roman" w:eastAsia="Times New Roman" w:hAnsi="Times New Roman" w:cs="Times New Roman"/>
          <w:szCs w:val="20"/>
        </w:rPr>
      </w:pPr>
      <w:r w:rsidRPr="00074A31">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074A31">
        <w:rPr>
          <w:rFonts w:ascii="Times New Roman" w:eastAsia="Times New Roman" w:hAnsi="Times New Roman" w:cs="Times New Roman"/>
          <w:noProof/>
          <w:szCs w:val="20"/>
        </w:rPr>
        <w:t>Hazardous Waste</w:t>
      </w:r>
      <w:r w:rsidRPr="00074A31">
        <w:rPr>
          <w:rFonts w:ascii="Times New Roman" w:eastAsia="Times New Roman" w:hAnsi="Times New Roman" w:cs="Times New Roman"/>
          <w:szCs w:val="20"/>
        </w:rPr>
        <w:t xml:space="preserve"> regulations, </w:t>
      </w:r>
      <w:r w:rsidRPr="00074A31">
        <w:rPr>
          <w:rFonts w:ascii="Times New Roman" w:eastAsia="Times New Roman" w:hAnsi="Times New Roman" w:cs="Times New Roman"/>
          <w:noProof/>
          <w:szCs w:val="20"/>
        </w:rPr>
        <w:t>LAC 33:V.4999.Appendix E. Table 2</w:t>
      </w:r>
      <w:r w:rsidRPr="00074A31">
        <w:rPr>
          <w:rFonts w:ascii="Times New Roman" w:eastAsia="Times New Roman" w:hAnsi="Times New Roman" w:cs="Times New Roman"/>
          <w:szCs w:val="20"/>
        </w:rPr>
        <w:t xml:space="preserve"> (</w:t>
      </w:r>
      <w:r w:rsidRPr="00074A31">
        <w:rPr>
          <w:rFonts w:ascii="Times New Roman" w:eastAsia="Times New Roman" w:hAnsi="Times New Roman" w:cs="Times New Roman"/>
          <w:noProof/>
          <w:szCs w:val="20"/>
        </w:rPr>
        <w:t>HW138</w:t>
      </w:r>
      <w:r w:rsidRPr="00074A31">
        <w:rPr>
          <w:rFonts w:ascii="Times New Roman" w:eastAsia="Times New Roman" w:hAnsi="Times New Roman" w:cs="Times New Roman"/>
          <w:szCs w:val="20"/>
        </w:rPr>
        <w:t>).</w:t>
      </w:r>
    </w:p>
    <w:p w14:paraId="6575FBDC" w14:textId="77777777" w:rsidR="00074A31" w:rsidRPr="00074A31" w:rsidRDefault="00074A31" w:rsidP="00074A31">
      <w:pPr>
        <w:rPr>
          <w:rFonts w:ascii="Times New Roman" w:eastAsia="Times New Roman" w:hAnsi="Times New Roman" w:cs="Times New Roman"/>
          <w:szCs w:val="20"/>
        </w:rPr>
      </w:pPr>
    </w:p>
    <w:p w14:paraId="7A4C154A" w14:textId="77777777" w:rsidR="00074A31" w:rsidRPr="00074A31" w:rsidRDefault="00074A31" w:rsidP="00074A31">
      <w:pPr>
        <w:rPr>
          <w:rFonts w:ascii="Times New Roman" w:eastAsia="Times New Roman" w:hAnsi="Times New Roman" w:cs="Times New Roman"/>
          <w:noProof/>
          <w:szCs w:val="20"/>
        </w:rPr>
      </w:pPr>
      <w:r w:rsidRPr="00074A31">
        <w:rPr>
          <w:rFonts w:ascii="Times New Roman" w:eastAsia="Times New Roman" w:hAnsi="Times New Roman" w:cs="Times New Roman"/>
          <w:szCs w:val="20"/>
        </w:rPr>
        <w:tab/>
      </w:r>
      <w:r w:rsidRPr="00074A31">
        <w:rPr>
          <w:rFonts w:ascii="Times New Roman" w:eastAsia="Times New Roman" w:hAnsi="Times New Roman" w:cs="Times New Roman"/>
          <w:noProof/>
          <w:szCs w:val="20"/>
        </w:rPr>
        <w:t>The proposed Rule seeks to exclude (delist) incinerator ash and scrubber mud generated by Chevron Oronite Co. LLC and disposed of in Landfills A, B, and C at its Oak Point Plant in Belle Chasse, Louisiana, from the hazardous waste regulations. Chevron Oronite Co. LLC has submitted a petition to delist approximately 200,500 cubic yards of incinerator ash and scrubber mud, which are currently classified as listed hazardous waste (F005). The request seeks to reclassify these materials as nonhazardous industrial solid waste based on analytical data and risk assessment results, demonstrating that they do not pose a significant risk to human health or the environment. This reclassification will improve waste management efficiency while ensuring environmental protection. It will allow management by either disposal at a permitted off-site facility appropriate for nonhazardous industrial waste or through in-place management using alternate methods approved by LDEQ.</w:t>
      </w:r>
    </w:p>
    <w:p w14:paraId="53D9A713" w14:textId="77777777" w:rsidR="00074A31" w:rsidRPr="00074A31" w:rsidRDefault="00074A31" w:rsidP="00074A31">
      <w:pPr>
        <w:rPr>
          <w:rFonts w:ascii="Times New Roman" w:eastAsia="Times New Roman" w:hAnsi="Times New Roman" w:cs="Times New Roman"/>
          <w:noProof/>
          <w:szCs w:val="20"/>
        </w:rPr>
      </w:pPr>
    </w:p>
    <w:p w14:paraId="5FEB7305" w14:textId="77777777" w:rsidR="00074A31" w:rsidRPr="00074A31" w:rsidRDefault="00074A31" w:rsidP="00074A31">
      <w:pPr>
        <w:ind w:firstLine="720"/>
        <w:rPr>
          <w:rFonts w:ascii="Times New Roman" w:eastAsia="Times New Roman" w:hAnsi="Times New Roman" w:cs="Times New Roman"/>
          <w:szCs w:val="20"/>
        </w:rPr>
      </w:pPr>
      <w:r w:rsidRPr="00074A31">
        <w:rPr>
          <w:rFonts w:ascii="Times New Roman" w:eastAsia="Times New Roman" w:hAnsi="Times New Roman" w:cs="Times New Roman"/>
          <w:noProof/>
          <w:szCs w:val="20"/>
        </w:rPr>
        <w:t>The delisting program is regulated under LAC 33:V.105.M and follows a formal rulemaking process. Applicants must submit a petition and meet all regulatory requirements to qualify for exclusion from hazardous waste regulations. This one-time delisting applies exclusively to the specified 200,500 cubic yards of waste materials located in Landfills A, B, and C at the Chevron Oronite Co LLC – Oak Point Plant site in Belle Chasse, Louisiana.</w:t>
      </w:r>
      <w:r w:rsidRPr="00074A31">
        <w:rPr>
          <w:rFonts w:ascii="Times New Roman" w:eastAsia="Times New Roman" w:hAnsi="Times New Roman" w:cs="Times New Roman"/>
          <w:szCs w:val="20"/>
        </w:rPr>
        <w:t xml:space="preserve"> </w:t>
      </w:r>
      <w:r w:rsidRPr="00074A31">
        <w:rPr>
          <w:rFonts w:ascii="Times New Roman" w:eastAsia="Times New Roman" w:hAnsi="Times New Roman" w:cs="Times New Roman"/>
          <w:noProof/>
          <w:szCs w:val="20"/>
        </w:rPr>
        <w:t>The basis and rationale for this Rule are based on an evaluation of the information provided by the petitioner, including the analytical data, and the department’s analysis of the information, including results of the Delisting Risk Assessment Software assessment.</w:t>
      </w:r>
      <w:r w:rsidRPr="00074A31">
        <w:rPr>
          <w:rFonts w:ascii="Times New Roman" w:eastAsia="Times New Roman" w:hAnsi="Times New Roman" w:cs="Times New Roman"/>
          <w:szCs w:val="20"/>
        </w:rPr>
        <w:t xml:space="preserve"> This Rule meets an exception listed in R.S. 30:2019(D</w:t>
      </w:r>
      <w:proofErr w:type="gramStart"/>
      <w:r w:rsidRPr="00074A31">
        <w:rPr>
          <w:rFonts w:ascii="Times New Roman" w:eastAsia="Times New Roman" w:hAnsi="Times New Roman" w:cs="Times New Roman"/>
          <w:szCs w:val="20"/>
        </w:rPr>
        <w:t>)(</w:t>
      </w:r>
      <w:proofErr w:type="gramEnd"/>
      <w:r w:rsidRPr="00074A31">
        <w:rPr>
          <w:rFonts w:ascii="Times New Roman" w:eastAsia="Times New Roman" w:hAnsi="Times New Roman" w:cs="Times New Roman"/>
          <w:szCs w:val="20"/>
        </w:rPr>
        <w:t>2) and R.S. 49:963.B(3); therefore, no report regarding environmental/health benefits and social/economic costs is required.</w:t>
      </w:r>
    </w:p>
    <w:p w14:paraId="66A86EF7" w14:textId="77777777" w:rsidR="00074A31" w:rsidRPr="00074A31" w:rsidRDefault="00074A31" w:rsidP="00074A31">
      <w:pPr>
        <w:rPr>
          <w:rFonts w:ascii="Times New Roman" w:eastAsia="Times New Roman" w:hAnsi="Times New Roman" w:cs="Times New Roman"/>
          <w:szCs w:val="20"/>
        </w:rPr>
      </w:pPr>
    </w:p>
    <w:p w14:paraId="66B5E600" w14:textId="77777777" w:rsidR="00074A31" w:rsidRPr="00074A31" w:rsidRDefault="00074A31" w:rsidP="00074A31">
      <w:pPr>
        <w:jc w:val="center"/>
        <w:rPr>
          <w:rFonts w:ascii="Times New Roman" w:eastAsia="Times New Roman" w:hAnsi="Times New Roman" w:cs="Times New Roman"/>
          <w:szCs w:val="20"/>
        </w:rPr>
      </w:pPr>
      <w:r w:rsidRPr="00074A31">
        <w:rPr>
          <w:rFonts w:ascii="Times New Roman" w:eastAsia="Times New Roman" w:hAnsi="Times New Roman" w:cs="Times New Roman"/>
          <w:b/>
          <w:szCs w:val="20"/>
        </w:rPr>
        <w:t>Family Impact Statement</w:t>
      </w:r>
    </w:p>
    <w:p w14:paraId="6B4579E5" w14:textId="77777777" w:rsidR="00074A31" w:rsidRPr="00074A31" w:rsidRDefault="00074A31" w:rsidP="00074A31">
      <w:pPr>
        <w:ind w:firstLine="720"/>
        <w:rPr>
          <w:rFonts w:ascii="Times New Roman" w:eastAsia="Times New Roman" w:hAnsi="Times New Roman" w:cs="Times New Roman"/>
          <w:szCs w:val="20"/>
        </w:rPr>
      </w:pPr>
      <w:r w:rsidRPr="00074A31">
        <w:rPr>
          <w:rFonts w:ascii="Times New Roman" w:eastAsia="Times New Roman" w:hAnsi="Times New Roman" w:cs="Times New Roman"/>
          <w:szCs w:val="20"/>
        </w:rPr>
        <w:t>This Rule has no known impact on family formation, stability, and autonomy as described in R.S. 49:972.</w:t>
      </w:r>
    </w:p>
    <w:p w14:paraId="6362359C" w14:textId="77777777" w:rsidR="00074A31" w:rsidRPr="00074A31" w:rsidRDefault="00074A31" w:rsidP="00074A31">
      <w:pPr>
        <w:jc w:val="center"/>
        <w:rPr>
          <w:rFonts w:ascii="Times New Roman" w:eastAsia="Times New Roman" w:hAnsi="Times New Roman" w:cs="Times New Roman"/>
          <w:szCs w:val="20"/>
        </w:rPr>
      </w:pPr>
      <w:r w:rsidRPr="00074A31">
        <w:rPr>
          <w:rFonts w:ascii="Times New Roman" w:eastAsia="Times New Roman" w:hAnsi="Times New Roman" w:cs="Times New Roman"/>
          <w:b/>
          <w:szCs w:val="20"/>
        </w:rPr>
        <w:t>Poverty Impact Statement</w:t>
      </w:r>
    </w:p>
    <w:p w14:paraId="49AF7F68" w14:textId="77777777" w:rsidR="00074A31" w:rsidRPr="00074A31" w:rsidRDefault="00074A31" w:rsidP="00074A31">
      <w:pPr>
        <w:ind w:firstLine="720"/>
        <w:rPr>
          <w:rFonts w:ascii="Times New Roman" w:eastAsia="Times New Roman" w:hAnsi="Times New Roman" w:cs="Times New Roman"/>
          <w:color w:val="000000"/>
        </w:rPr>
      </w:pPr>
      <w:r w:rsidRPr="00074A31">
        <w:rPr>
          <w:rFonts w:ascii="Times New Roman" w:eastAsia="Times New Roman" w:hAnsi="Times New Roman" w:cs="Times New Roman"/>
        </w:rPr>
        <w:t xml:space="preserve">This Rule has no known impact on </w:t>
      </w:r>
      <w:r w:rsidRPr="00074A31">
        <w:rPr>
          <w:rFonts w:ascii="Times New Roman" w:eastAsia="Times New Roman" w:hAnsi="Times New Roman" w:cs="Times New Roman"/>
          <w:color w:val="000000"/>
        </w:rPr>
        <w:t>poverty as described in R.S. 49:973.</w:t>
      </w:r>
    </w:p>
    <w:p w14:paraId="6CB79B89" w14:textId="77777777" w:rsidR="00074A31" w:rsidRPr="00074A31" w:rsidRDefault="00074A31" w:rsidP="00074A31">
      <w:pPr>
        <w:ind w:firstLine="720"/>
        <w:rPr>
          <w:rFonts w:ascii="Times New Roman" w:eastAsia="Times New Roman" w:hAnsi="Times New Roman" w:cs="Times New Roman"/>
          <w:color w:val="000000"/>
        </w:rPr>
      </w:pPr>
    </w:p>
    <w:p w14:paraId="5AD6C00B" w14:textId="77777777" w:rsidR="00074A31" w:rsidRPr="00074A31" w:rsidRDefault="00074A31" w:rsidP="00074A31">
      <w:pPr>
        <w:jc w:val="center"/>
        <w:rPr>
          <w:rFonts w:ascii="Times New Roman" w:eastAsia="Times New Roman" w:hAnsi="Times New Roman" w:cs="Times New Roman"/>
          <w:b/>
          <w:color w:val="000000"/>
        </w:rPr>
      </w:pPr>
      <w:r w:rsidRPr="00074A31">
        <w:rPr>
          <w:rFonts w:ascii="Times New Roman" w:eastAsia="Times New Roman" w:hAnsi="Times New Roman" w:cs="Times New Roman"/>
          <w:b/>
          <w:color w:val="000000"/>
        </w:rPr>
        <w:t>Small Business Analysis</w:t>
      </w:r>
    </w:p>
    <w:p w14:paraId="7B9247C6" w14:textId="77777777" w:rsidR="00074A31" w:rsidRPr="00074A31" w:rsidRDefault="00074A31" w:rsidP="00074A31">
      <w:pPr>
        <w:ind w:firstLine="720"/>
        <w:rPr>
          <w:rFonts w:ascii="Times New Roman" w:eastAsia="Times New Roman" w:hAnsi="Times New Roman" w:cs="Times New Roman"/>
        </w:rPr>
      </w:pPr>
      <w:r w:rsidRPr="00074A31">
        <w:rPr>
          <w:rFonts w:ascii="Times New Roman" w:eastAsia="Times New Roman" w:hAnsi="Times New Roman" w:cs="Times New Roman"/>
          <w:color w:val="000000"/>
        </w:rPr>
        <w:t xml:space="preserve">This Rule has no known impact on small business as described in </w:t>
      </w:r>
      <w:r w:rsidRPr="00074A31">
        <w:rPr>
          <w:rFonts w:ascii="Times New Roman" w:eastAsia="Times New Roman" w:hAnsi="Times New Roman" w:cs="Times New Roman"/>
        </w:rPr>
        <w:t>R.S. 49:974.1 - 974.8.</w:t>
      </w:r>
    </w:p>
    <w:p w14:paraId="35D878B5" w14:textId="77777777" w:rsidR="00074A31" w:rsidRPr="00074A31" w:rsidRDefault="00074A31" w:rsidP="00074A31">
      <w:pPr>
        <w:ind w:firstLine="720"/>
        <w:rPr>
          <w:rFonts w:ascii="Times New Roman" w:eastAsia="Times New Roman" w:hAnsi="Times New Roman" w:cs="Times New Roman"/>
          <w:color w:val="000000"/>
        </w:rPr>
      </w:pPr>
    </w:p>
    <w:p w14:paraId="4C9B824F" w14:textId="77777777" w:rsidR="00074A31" w:rsidRPr="00074A31" w:rsidRDefault="00074A31" w:rsidP="00074A31">
      <w:pPr>
        <w:jc w:val="center"/>
        <w:rPr>
          <w:rFonts w:ascii="Times New Roman" w:eastAsia="Times New Roman" w:hAnsi="Times New Roman" w:cs="Times New Roman"/>
          <w:color w:val="000000"/>
        </w:rPr>
      </w:pPr>
      <w:r w:rsidRPr="00074A31">
        <w:rPr>
          <w:rFonts w:ascii="Times New Roman" w:eastAsia="Times New Roman" w:hAnsi="Times New Roman" w:cs="Times New Roman"/>
          <w:b/>
          <w:color w:val="000000"/>
        </w:rPr>
        <w:t>Provider Impact Statement</w:t>
      </w:r>
    </w:p>
    <w:p w14:paraId="04E2E047" w14:textId="77777777" w:rsidR="00074A31" w:rsidRPr="00074A31" w:rsidRDefault="00074A31" w:rsidP="00074A31">
      <w:pPr>
        <w:ind w:firstLine="720"/>
        <w:rPr>
          <w:rFonts w:ascii="Times New Roman" w:eastAsia="Times New Roman" w:hAnsi="Times New Roman" w:cs="Times New Roman"/>
        </w:rPr>
      </w:pPr>
      <w:r w:rsidRPr="00074A31">
        <w:rPr>
          <w:rFonts w:ascii="Times New Roman" w:eastAsia="Times New Roman" w:hAnsi="Times New Roman" w:cs="Times New Roman"/>
          <w:color w:val="000000"/>
        </w:rPr>
        <w:t>This Rule has no known impact on providers as described in HCR 170 of 2014.</w:t>
      </w:r>
    </w:p>
    <w:p w14:paraId="0EC2B387" w14:textId="77777777" w:rsidR="00074A31" w:rsidRPr="00074A31" w:rsidRDefault="00074A31" w:rsidP="00074A31">
      <w:pPr>
        <w:rPr>
          <w:rFonts w:ascii="Times New Roman" w:eastAsia="Times New Roman" w:hAnsi="Times New Roman" w:cs="Times New Roman"/>
          <w:szCs w:val="20"/>
        </w:rPr>
      </w:pPr>
    </w:p>
    <w:p w14:paraId="5E6DEA34" w14:textId="77777777" w:rsidR="00074A31" w:rsidRPr="00074A31" w:rsidRDefault="00074A31" w:rsidP="00074A31">
      <w:pPr>
        <w:jc w:val="center"/>
        <w:rPr>
          <w:rFonts w:ascii="Times New Roman" w:eastAsia="Times New Roman" w:hAnsi="Times New Roman" w:cs="Times New Roman"/>
          <w:b/>
          <w:szCs w:val="20"/>
        </w:rPr>
      </w:pPr>
      <w:r w:rsidRPr="00074A31">
        <w:rPr>
          <w:rFonts w:ascii="Times New Roman" w:eastAsia="Times New Roman" w:hAnsi="Times New Roman" w:cs="Times New Roman"/>
          <w:b/>
          <w:szCs w:val="20"/>
        </w:rPr>
        <w:t>Public Comments</w:t>
      </w:r>
    </w:p>
    <w:p w14:paraId="39BEB484" w14:textId="77777777" w:rsidR="00074A31" w:rsidRPr="00074A31" w:rsidRDefault="00074A31" w:rsidP="00074A31">
      <w:pPr>
        <w:rPr>
          <w:rFonts w:ascii="Times New Roman" w:eastAsia="Times New Roman" w:hAnsi="Times New Roman" w:cs="Times New Roman"/>
          <w:szCs w:val="20"/>
        </w:rPr>
      </w:pPr>
      <w:r w:rsidRPr="00074A31">
        <w:rPr>
          <w:rFonts w:ascii="Times New Roman" w:eastAsia="Times New Roman" w:hAnsi="Times New Roman" w:cs="Times New Roman"/>
          <w:szCs w:val="20"/>
        </w:rPr>
        <w:tab/>
        <w:t xml:space="preserve">All interested persons </w:t>
      </w:r>
      <w:proofErr w:type="gramStart"/>
      <w:r w:rsidRPr="00074A31">
        <w:rPr>
          <w:rFonts w:ascii="Times New Roman" w:eastAsia="Times New Roman" w:hAnsi="Times New Roman" w:cs="Times New Roman"/>
          <w:szCs w:val="20"/>
        </w:rPr>
        <w:t>are invited</w:t>
      </w:r>
      <w:proofErr w:type="gramEnd"/>
      <w:r w:rsidRPr="00074A31">
        <w:rPr>
          <w:rFonts w:ascii="Times New Roman" w:eastAsia="Times New Roman" w:hAnsi="Times New Roman" w:cs="Times New Roman"/>
          <w:szCs w:val="20"/>
        </w:rPr>
        <w:t xml:space="preserve"> to submit written comments on the proposed Rule. Persons commenting should reference this proposed Rule by </w:t>
      </w:r>
      <w:r w:rsidRPr="00074A31">
        <w:rPr>
          <w:rFonts w:ascii="Times New Roman" w:eastAsia="Times New Roman" w:hAnsi="Times New Roman" w:cs="Times New Roman"/>
          <w:noProof/>
          <w:szCs w:val="20"/>
        </w:rPr>
        <w:t>HW138</w:t>
      </w:r>
      <w:r w:rsidRPr="00074A31">
        <w:rPr>
          <w:rFonts w:ascii="Times New Roman" w:eastAsia="Times New Roman" w:hAnsi="Times New Roman" w:cs="Times New Roman"/>
          <w:szCs w:val="20"/>
        </w:rPr>
        <w:t xml:space="preserve">. Such comments must be received no later than </w:t>
      </w:r>
      <w:r w:rsidRPr="00074A31">
        <w:rPr>
          <w:rFonts w:ascii="Times New Roman" w:eastAsia="Times New Roman" w:hAnsi="Times New Roman" w:cs="Times New Roman"/>
          <w:noProof/>
          <w:szCs w:val="20"/>
        </w:rPr>
        <w:t>June 10, 2025</w:t>
      </w:r>
      <w:r w:rsidRPr="00074A31">
        <w:rPr>
          <w:rFonts w:ascii="Times New Roman" w:eastAsia="Times New Roman" w:hAnsi="Times New Roman" w:cs="Times New Roman"/>
          <w:szCs w:val="20"/>
        </w:rPr>
        <w:t xml:space="preserve">, at 4:30 p.m., and should be sent to William Little, Attorney Supervisor, </w:t>
      </w:r>
      <w:r w:rsidRPr="00074A31">
        <w:rPr>
          <w:rFonts w:ascii="Times New Roman" w:eastAsia="Times New Roman" w:hAnsi="Times New Roman" w:cs="Times New Roman"/>
        </w:rPr>
        <w:t xml:space="preserve">Office of the Secretary, </w:t>
      </w:r>
      <w:r w:rsidRPr="00074A31">
        <w:rPr>
          <w:rFonts w:ascii="Times New Roman" w:eastAsia="Times New Roman" w:hAnsi="Times New Roman" w:cs="Times New Roman"/>
          <w:szCs w:val="20"/>
        </w:rPr>
        <w:t>Legal Affairs Division</w:t>
      </w:r>
      <w:r w:rsidRPr="00074A31">
        <w:rPr>
          <w:rFonts w:ascii="Times New Roman" w:eastAsia="Times New Roman" w:hAnsi="Times New Roman" w:cs="Times New Roman"/>
        </w:rPr>
        <w:t xml:space="preserve">, P.O. Box 4302, Baton Rouge, LA 70821-4302, by fax </w:t>
      </w:r>
      <w:r w:rsidRPr="00074A31">
        <w:rPr>
          <w:rFonts w:ascii="Times New Roman" w:eastAsia="Times New Roman" w:hAnsi="Times New Roman" w:cs="Times New Roman"/>
          <w:szCs w:val="20"/>
        </w:rPr>
        <w:t xml:space="preserve">(225) 219-4068, or by E-mail to DEQ.Reg.Dev.Comments@la.gov. Copies of the proposed Rule </w:t>
      </w:r>
      <w:proofErr w:type="gramStart"/>
      <w:r w:rsidRPr="00074A31">
        <w:rPr>
          <w:rFonts w:ascii="Times New Roman" w:eastAsia="Times New Roman" w:hAnsi="Times New Roman" w:cs="Times New Roman"/>
          <w:szCs w:val="20"/>
        </w:rPr>
        <w:t>can be purchased</w:t>
      </w:r>
      <w:proofErr w:type="gramEnd"/>
      <w:r w:rsidRPr="00074A31">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074A31">
        <w:rPr>
          <w:rFonts w:ascii="Times New Roman" w:eastAsia="Times New Roman" w:hAnsi="Times New Roman" w:cs="Times New Roman"/>
          <w:noProof/>
          <w:szCs w:val="20"/>
        </w:rPr>
        <w:t>HW138</w:t>
      </w:r>
      <w:r w:rsidRPr="00074A31">
        <w:rPr>
          <w:rFonts w:ascii="Times New Roman" w:eastAsia="Times New Roman" w:hAnsi="Times New Roman" w:cs="Times New Roman"/>
          <w:szCs w:val="20"/>
        </w:rPr>
        <w:t>. The proposed Rule is available on the Internet at https://deq.louisiana.gov/page/rules-regulations.</w:t>
      </w:r>
    </w:p>
    <w:p w14:paraId="64200DCF" w14:textId="77777777" w:rsidR="00074A31" w:rsidRPr="00074A31" w:rsidRDefault="00074A31" w:rsidP="00074A31">
      <w:pPr>
        <w:rPr>
          <w:rFonts w:ascii="Times New Roman" w:eastAsia="Times New Roman" w:hAnsi="Times New Roman" w:cs="Times New Roman"/>
          <w:szCs w:val="20"/>
        </w:rPr>
      </w:pPr>
    </w:p>
    <w:p w14:paraId="3CBEA095" w14:textId="77777777" w:rsidR="00074A31" w:rsidRPr="00074A31" w:rsidRDefault="00074A31" w:rsidP="00074A31">
      <w:pPr>
        <w:jc w:val="center"/>
        <w:rPr>
          <w:rFonts w:ascii="Times New Roman" w:eastAsia="Times New Roman" w:hAnsi="Times New Roman" w:cs="Times New Roman"/>
          <w:szCs w:val="20"/>
        </w:rPr>
      </w:pPr>
      <w:r w:rsidRPr="00074A31">
        <w:rPr>
          <w:rFonts w:ascii="Times New Roman" w:eastAsia="Times New Roman" w:hAnsi="Times New Roman" w:cs="Times New Roman"/>
          <w:b/>
          <w:szCs w:val="20"/>
        </w:rPr>
        <w:t>Public Hearing</w:t>
      </w:r>
    </w:p>
    <w:p w14:paraId="78233A8F" w14:textId="77777777" w:rsidR="00074A31" w:rsidRPr="00074A31" w:rsidRDefault="00074A31" w:rsidP="00074A31">
      <w:pPr>
        <w:ind w:firstLine="720"/>
        <w:rPr>
          <w:rFonts w:ascii="Times New Roman" w:eastAsia="Times New Roman" w:hAnsi="Times New Roman" w:cs="Times New Roman"/>
          <w:szCs w:val="20"/>
        </w:rPr>
      </w:pPr>
      <w:r w:rsidRPr="00074A31">
        <w:rPr>
          <w:rFonts w:ascii="Times New Roman" w:eastAsia="Times New Roman" w:hAnsi="Times New Roman" w:cs="Times New Roman"/>
          <w:szCs w:val="20"/>
        </w:rPr>
        <w:t xml:space="preserve">A public hearing will be held on June 3, 2025, at 1:30 p.m. in the Galvez Building, Oliver Pollock Conference Room, </w:t>
      </w:r>
      <w:proofErr w:type="gramStart"/>
      <w:r w:rsidRPr="00074A31">
        <w:rPr>
          <w:rFonts w:ascii="Times New Roman" w:eastAsia="Times New Roman" w:hAnsi="Times New Roman" w:cs="Times New Roman"/>
          <w:szCs w:val="20"/>
        </w:rPr>
        <w:t>602</w:t>
      </w:r>
      <w:proofErr w:type="gramEnd"/>
      <w:r w:rsidRPr="00074A31">
        <w:rPr>
          <w:rFonts w:ascii="Times New Roman" w:eastAsia="Times New Roman" w:hAnsi="Times New Roman" w:cs="Times New Roman"/>
          <w:szCs w:val="20"/>
        </w:rPr>
        <w:t xml:space="preserve"> N. Fifth Street, Baton Rouge, LA 70802. Interested persons are </w:t>
      </w:r>
      <w:r w:rsidRPr="00074A31">
        <w:rPr>
          <w:rFonts w:ascii="Times New Roman" w:eastAsia="Times New Roman" w:hAnsi="Times New Roman" w:cs="Times New Roman"/>
          <w:szCs w:val="20"/>
        </w:rPr>
        <w:lastRenderedPageBreak/>
        <w:t>invited to attend in person or via Zoom at https://deqlouisiana.zoom.us/j/6836133613?omn=94258719092 or by telephone by dialing (646) 255-</w:t>
      </w:r>
      <w:proofErr w:type="gramStart"/>
      <w:r w:rsidRPr="00074A31">
        <w:rPr>
          <w:rFonts w:ascii="Times New Roman" w:eastAsia="Times New Roman" w:hAnsi="Times New Roman" w:cs="Times New Roman"/>
          <w:szCs w:val="20"/>
        </w:rPr>
        <w:t>1997  using</w:t>
      </w:r>
      <w:proofErr w:type="gramEnd"/>
      <w:r w:rsidRPr="00074A31">
        <w:rPr>
          <w:rFonts w:ascii="Times New Roman" w:eastAsia="Times New Roman" w:hAnsi="Times New Roman" w:cs="Times New Roman"/>
          <w:szCs w:val="20"/>
        </w:rPr>
        <w:t xml:space="preserve"> the meeting ID 683 613 3613. Should individuals with a disability need an accommodation in order to participate, contact Doug Bordelon at the address given below or at (225) 219-</w:t>
      </w:r>
      <w:proofErr w:type="gramStart"/>
      <w:r w:rsidRPr="00074A31">
        <w:rPr>
          <w:rFonts w:ascii="Times New Roman" w:eastAsia="Times New Roman" w:hAnsi="Times New Roman" w:cs="Times New Roman"/>
          <w:szCs w:val="20"/>
        </w:rPr>
        <w:t>1325.</w:t>
      </w:r>
      <w:proofErr w:type="gramEnd"/>
    </w:p>
    <w:p w14:paraId="7A8A7642" w14:textId="77777777" w:rsidR="00074A31" w:rsidRPr="00074A31" w:rsidRDefault="00074A31" w:rsidP="00074A31">
      <w:pPr>
        <w:rPr>
          <w:rFonts w:ascii="Times New Roman" w:eastAsia="Times New Roman" w:hAnsi="Times New Roman" w:cs="Times New Roman"/>
          <w:szCs w:val="20"/>
        </w:rPr>
      </w:pPr>
    </w:p>
    <w:p w14:paraId="2CE7BAFD" w14:textId="77777777" w:rsidR="00074A31" w:rsidRPr="00074A31" w:rsidRDefault="00074A31" w:rsidP="00074A31">
      <w:pPr>
        <w:rPr>
          <w:rFonts w:ascii="Times New Roman" w:eastAsia="Times New Roman" w:hAnsi="Times New Roman" w:cs="Times New Roman"/>
          <w:szCs w:val="20"/>
        </w:rPr>
      </w:pPr>
      <w:r w:rsidRPr="00074A31">
        <w:rPr>
          <w:rFonts w:ascii="Times New Roman" w:eastAsia="Times New Roman" w:hAnsi="Times New Roman" w:cs="Times New Roman"/>
          <w:szCs w:val="20"/>
        </w:rPr>
        <w:tab/>
      </w:r>
      <w:proofErr w:type="gramStart"/>
      <w:r w:rsidRPr="00074A31">
        <w:rPr>
          <w:rFonts w:ascii="Times New Roman" w:eastAsia="Times New Roman" w:hAnsi="Times New Roman" w:cs="Times New Roman"/>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074A31">
        <w:rPr>
          <w:rFonts w:ascii="CG Times (W1)" w:eastAsia="Times New Roman" w:hAnsi="CG Times (W1)" w:cs="Times New Roman"/>
          <w:szCs w:val="20"/>
        </w:rPr>
        <w:t xml:space="preserve"> </w:t>
      </w:r>
      <w:r w:rsidRPr="00074A31">
        <w:rPr>
          <w:rFonts w:ascii="Times New Roman" w:eastAsia="Times New Roman" w:hAnsi="Times New Roman" w:cs="Times New Roman"/>
          <w:szCs w:val="20"/>
        </w:rPr>
        <w:t xml:space="preserve">111 New Center Drive, Lafayette, LA 70508; 110 Barataria Street, Lockport, LA 70374; </w:t>
      </w:r>
      <w:r w:rsidRPr="00074A31">
        <w:rPr>
          <w:rFonts w:ascii="Times New Roman" w:eastAsia="Times New Roman" w:hAnsi="Times New Roman" w:cs="Times New Roman"/>
        </w:rPr>
        <w:t>201 Evans Road, Bldg. 4, Suite 420, New Orleans, LA  70123</w:t>
      </w:r>
      <w:r w:rsidRPr="00074A31">
        <w:rPr>
          <w:rFonts w:ascii="Times New Roman" w:eastAsia="Times New Roman" w:hAnsi="Times New Roman" w:cs="Times New Roman"/>
          <w:szCs w:val="20"/>
        </w:rPr>
        <w:t>.</w:t>
      </w:r>
      <w:proofErr w:type="gramEnd"/>
    </w:p>
    <w:p w14:paraId="50FD3CDF" w14:textId="77777777" w:rsidR="00074A31" w:rsidRPr="00074A31" w:rsidRDefault="00074A31" w:rsidP="00074A31">
      <w:pPr>
        <w:rPr>
          <w:rFonts w:ascii="Times New Roman" w:eastAsia="Times New Roman" w:hAnsi="Times New Roman" w:cs="Times New Roman"/>
          <w:szCs w:val="20"/>
        </w:rPr>
      </w:pPr>
    </w:p>
    <w:p w14:paraId="1E15235C" w14:textId="77777777" w:rsidR="00074A31" w:rsidRPr="00074A31" w:rsidRDefault="00074A31" w:rsidP="00074A31">
      <w:pPr>
        <w:rPr>
          <w:rFonts w:ascii="Times New Roman" w:eastAsia="Times New Roman" w:hAnsi="Times New Roman" w:cs="Times New Roman"/>
          <w:szCs w:val="20"/>
        </w:rPr>
      </w:pP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t>Aurelia S. Giacometto</w:t>
      </w:r>
    </w:p>
    <w:p w14:paraId="2BFA4CED" w14:textId="77777777" w:rsidR="00074A31" w:rsidRPr="00074A31" w:rsidRDefault="00074A31" w:rsidP="00074A31">
      <w:pPr>
        <w:rPr>
          <w:rFonts w:ascii="Times New Roman" w:eastAsia="Times New Roman" w:hAnsi="Times New Roman" w:cs="Times New Roman"/>
          <w:sz w:val="20"/>
          <w:szCs w:val="20"/>
        </w:rPr>
      </w:pP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r>
      <w:r w:rsidRPr="00074A31">
        <w:rPr>
          <w:rFonts w:ascii="Times New Roman" w:eastAsia="Times New Roman" w:hAnsi="Times New Roman" w:cs="Times New Roman"/>
          <w:szCs w:val="20"/>
        </w:rPr>
        <w:tab/>
        <w:t>Secretary</w:t>
      </w:r>
    </w:p>
    <w:p w14:paraId="4DC8352E" w14:textId="109C438B" w:rsidR="00074A31" w:rsidRDefault="00074A31"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04504492" w14:textId="77777777" w:rsidR="00074A31" w:rsidRPr="00074A31" w:rsidRDefault="00074A31" w:rsidP="00074A31">
      <w:pPr>
        <w:jc w:val="center"/>
        <w:rPr>
          <w:rFonts w:ascii="Times New Roman" w:eastAsia="Times New Roman" w:hAnsi="Times New Roman" w:cs="Times New Roman"/>
          <w:b/>
        </w:rPr>
      </w:pPr>
      <w:r w:rsidRPr="00074A31">
        <w:rPr>
          <w:rFonts w:ascii="Times New Roman" w:eastAsia="Times New Roman" w:hAnsi="Times New Roman" w:cs="Times New Roman"/>
          <w:b/>
        </w:rPr>
        <w:t>Title 33</w:t>
      </w:r>
    </w:p>
    <w:p w14:paraId="16633A35" w14:textId="77777777" w:rsidR="00074A31" w:rsidRPr="00074A31" w:rsidRDefault="00074A31" w:rsidP="00074A31">
      <w:pPr>
        <w:jc w:val="center"/>
        <w:rPr>
          <w:rFonts w:ascii="Times New Roman" w:eastAsia="Times New Roman" w:hAnsi="Times New Roman" w:cs="Times New Roman"/>
          <w:b/>
        </w:rPr>
      </w:pPr>
      <w:r w:rsidRPr="00074A31">
        <w:rPr>
          <w:rFonts w:ascii="Times New Roman" w:eastAsia="Times New Roman" w:hAnsi="Times New Roman" w:cs="Times New Roman"/>
          <w:b/>
        </w:rPr>
        <w:t>ENVIRONMENTAL QUALITY</w:t>
      </w:r>
    </w:p>
    <w:p w14:paraId="77BCBA53" w14:textId="77777777" w:rsidR="00074A31" w:rsidRPr="00074A31" w:rsidRDefault="00074A31" w:rsidP="00074A31">
      <w:pPr>
        <w:jc w:val="center"/>
        <w:rPr>
          <w:rFonts w:ascii="Times New Roman" w:eastAsia="Times New Roman" w:hAnsi="Times New Roman" w:cs="Times New Roman"/>
          <w:b/>
        </w:rPr>
      </w:pPr>
      <w:r w:rsidRPr="00074A31">
        <w:rPr>
          <w:rFonts w:ascii="Times New Roman" w:eastAsia="Times New Roman" w:hAnsi="Times New Roman" w:cs="Times New Roman"/>
          <w:b/>
        </w:rPr>
        <w:t>Part V. Hazardous Waste and Hazardous Materials</w:t>
      </w:r>
    </w:p>
    <w:p w14:paraId="1E44EF66" w14:textId="77777777" w:rsidR="00074A31" w:rsidRPr="00074A31" w:rsidRDefault="00074A31" w:rsidP="00074A31">
      <w:pPr>
        <w:jc w:val="center"/>
        <w:rPr>
          <w:rFonts w:ascii="Times New Roman" w:eastAsia="Times New Roman" w:hAnsi="Times New Roman" w:cs="Times New Roman"/>
          <w:b/>
        </w:rPr>
      </w:pPr>
      <w:r w:rsidRPr="00074A31">
        <w:rPr>
          <w:rFonts w:ascii="Times New Roman" w:eastAsia="Times New Roman" w:hAnsi="Times New Roman" w:cs="Times New Roman"/>
          <w:b/>
        </w:rPr>
        <w:t xml:space="preserve">Subpart </w:t>
      </w:r>
      <w:proofErr w:type="gramStart"/>
      <w:r w:rsidRPr="00074A31">
        <w:rPr>
          <w:rFonts w:ascii="Times New Roman" w:eastAsia="Times New Roman" w:hAnsi="Times New Roman" w:cs="Times New Roman"/>
          <w:b/>
        </w:rPr>
        <w:t>1</w:t>
      </w:r>
      <w:proofErr w:type="gramEnd"/>
      <w:r w:rsidRPr="00074A31">
        <w:rPr>
          <w:rFonts w:ascii="Times New Roman" w:eastAsia="Times New Roman" w:hAnsi="Times New Roman" w:cs="Times New Roman"/>
          <w:b/>
        </w:rPr>
        <w:t>. Department of Environmental Quality—Hazardous Waste</w:t>
      </w:r>
    </w:p>
    <w:p w14:paraId="55A0EF99" w14:textId="77777777" w:rsidR="00074A31" w:rsidRPr="00074A31" w:rsidRDefault="00074A31" w:rsidP="00074A31">
      <w:pPr>
        <w:rPr>
          <w:rFonts w:ascii="Times New Roman" w:eastAsia="Times New Roman" w:hAnsi="Times New Roman" w:cs="Times New Roman"/>
        </w:rPr>
      </w:pPr>
    </w:p>
    <w:p w14:paraId="1A14AEBB" w14:textId="77777777" w:rsidR="00074A31" w:rsidRPr="00074A31" w:rsidRDefault="00074A31" w:rsidP="00074A31">
      <w:pPr>
        <w:rPr>
          <w:rFonts w:ascii="Times New Roman" w:eastAsia="Times New Roman" w:hAnsi="Times New Roman" w:cs="Times New Roman"/>
          <w:b/>
          <w:kern w:val="2"/>
        </w:rPr>
      </w:pPr>
      <w:bookmarkStart w:id="1" w:name="TOC_Chap1132"/>
      <w:r w:rsidRPr="00074A31">
        <w:rPr>
          <w:rFonts w:ascii="Times New Roman" w:eastAsia="Times New Roman" w:hAnsi="Times New Roman" w:cs="Times New Roman"/>
          <w:b/>
          <w:kern w:val="2"/>
        </w:rPr>
        <w:t>Chapter 49.</w:t>
      </w:r>
      <w:bookmarkEnd w:id="1"/>
      <w:r w:rsidRPr="00074A31">
        <w:rPr>
          <w:rFonts w:ascii="Times New Roman" w:eastAsia="Times New Roman" w:hAnsi="Times New Roman" w:cs="Times New Roman"/>
          <w:b/>
          <w:kern w:val="2"/>
        </w:rPr>
        <w:t xml:space="preserve"> </w:t>
      </w:r>
      <w:bookmarkStart w:id="2" w:name="TOCT_Chap1132"/>
      <w:r w:rsidRPr="00074A31">
        <w:rPr>
          <w:rFonts w:ascii="Times New Roman" w:eastAsia="Times New Roman" w:hAnsi="Times New Roman" w:cs="Times New Roman"/>
          <w:b/>
          <w:kern w:val="2"/>
        </w:rPr>
        <w:t>Lists of Hazardous Wastes</w:t>
      </w:r>
      <w:bookmarkEnd w:id="2"/>
    </w:p>
    <w:p w14:paraId="267FEFDC" w14:textId="77777777" w:rsidR="00074A31" w:rsidRPr="00074A31" w:rsidRDefault="00074A31" w:rsidP="00074A31">
      <w:pPr>
        <w:rPr>
          <w:rFonts w:ascii="Times New Roman" w:eastAsia="Times New Roman" w:hAnsi="Times New Roman" w:cs="Times New Roman"/>
          <w:kern w:val="2"/>
        </w:rPr>
      </w:pPr>
    </w:p>
    <w:p w14:paraId="1521A00B" w14:textId="77777777" w:rsidR="00074A31" w:rsidRPr="00074A31" w:rsidRDefault="00074A31" w:rsidP="00074A31">
      <w:pPr>
        <w:rPr>
          <w:rFonts w:ascii="Times New Roman" w:eastAsia="Times New Roman" w:hAnsi="Times New Roman" w:cs="Times New Roman"/>
          <w:kern w:val="2"/>
        </w:rPr>
      </w:pPr>
      <w:r w:rsidRPr="00074A31">
        <w:rPr>
          <w:rFonts w:ascii="Times New Roman" w:eastAsia="Times New Roman" w:hAnsi="Times New Roman" w:cs="Times New Roman"/>
          <w:kern w:val="2"/>
        </w:rPr>
        <w:t>[Editor</w:t>
      </w:r>
      <w:r w:rsidRPr="00074A31">
        <w:rPr>
          <w:rFonts w:ascii="Times New Roman" w:eastAsia="Times New Roman" w:hAnsi="Times New Roman" w:cs="Times New Roman" w:hint="eastAsia"/>
          <w:kern w:val="2"/>
        </w:rPr>
        <w:t>’</w:t>
      </w:r>
      <w:r w:rsidRPr="00074A31">
        <w:rPr>
          <w:rFonts w:ascii="Times New Roman" w:eastAsia="Times New Roman" w:hAnsi="Times New Roman" w:cs="Times New Roman"/>
          <w:kern w:val="2"/>
        </w:rPr>
        <w:t>s Note: Chapter 49 is divided into two Sections: category I hazardous wastes, which consist of hazardous wastes from nonspecific and specific sources (F and K wastes), acute hazardous wastes (P wastes), and toxic wastes (U wastes) (LAC 33:V.4901); and category II hazardous wastes, which consist of wastes that are ignitable, corrosive, reactive, or toxic (LAC 33:V.4903).]</w:t>
      </w:r>
    </w:p>
    <w:p w14:paraId="460586A9" w14:textId="77777777" w:rsidR="00074A31" w:rsidRPr="00074A31" w:rsidRDefault="00074A31" w:rsidP="00074A31">
      <w:pPr>
        <w:rPr>
          <w:rFonts w:ascii="Times New Roman" w:eastAsia="Times New Roman" w:hAnsi="Times New Roman" w:cs="Times New Roman"/>
          <w:kern w:val="2"/>
        </w:rPr>
      </w:pPr>
    </w:p>
    <w:p w14:paraId="5D0BD1DE" w14:textId="77777777" w:rsidR="00074A31" w:rsidRPr="00074A31" w:rsidRDefault="00074A31" w:rsidP="00074A31">
      <w:pPr>
        <w:rPr>
          <w:rFonts w:ascii="Times New Roman" w:eastAsia="Times New Roman" w:hAnsi="Times New Roman" w:cs="Times New Roman"/>
          <w:b/>
          <w:kern w:val="2"/>
        </w:rPr>
      </w:pPr>
      <w:bookmarkStart w:id="3" w:name="TOC_Sect1854"/>
      <w:r w:rsidRPr="00074A31">
        <w:rPr>
          <w:rFonts w:ascii="Times New Roman" w:eastAsia="Times New Roman" w:hAnsi="Times New Roman" w:cs="Times New Roman"/>
          <w:b/>
          <w:kern w:val="2"/>
        </w:rPr>
        <w:t>§4999.</w:t>
      </w:r>
      <w:r w:rsidRPr="00074A31">
        <w:rPr>
          <w:rFonts w:ascii="Times New Roman" w:eastAsia="Times New Roman" w:hAnsi="Times New Roman" w:cs="Times New Roman"/>
          <w:b/>
          <w:kern w:val="2"/>
        </w:rPr>
        <w:tab/>
        <w:t>Appendices—Appendix A, B, C, D, and E</w:t>
      </w:r>
      <w:bookmarkEnd w:id="3"/>
    </w:p>
    <w:p w14:paraId="297F0EA3" w14:textId="77777777" w:rsidR="00074A31" w:rsidRPr="00074A31" w:rsidRDefault="00074A31" w:rsidP="00074A31">
      <w:pPr>
        <w:tabs>
          <w:tab w:val="left" w:pos="3960"/>
        </w:tabs>
        <w:spacing w:line="480" w:lineRule="auto"/>
        <w:rPr>
          <w:rFonts w:ascii="Times New Roman" w:eastAsia="Times New Roman" w:hAnsi="Times New Roman" w:cs="Times New Roman"/>
          <w:bCs/>
        </w:rPr>
      </w:pPr>
    </w:p>
    <w:p w14:paraId="0A6146A7" w14:textId="77777777" w:rsidR="00074A31" w:rsidRPr="00074A31" w:rsidRDefault="00074A31" w:rsidP="00074A31">
      <w:pPr>
        <w:tabs>
          <w:tab w:val="left" w:pos="3960"/>
        </w:tabs>
        <w:spacing w:line="480" w:lineRule="auto"/>
        <w:rPr>
          <w:rFonts w:ascii="Times New Roman" w:eastAsia="Times New Roman" w:hAnsi="Times New Roman" w:cs="Times New Roman"/>
          <w:bCs/>
        </w:rPr>
      </w:pPr>
      <w:r w:rsidRPr="00074A31">
        <w:rPr>
          <w:rFonts w:ascii="Times New Roman" w:eastAsia="Times New Roman" w:hAnsi="Times New Roman" w:cs="Times New Roman"/>
          <w:bCs/>
        </w:rPr>
        <w:t xml:space="preserve">Appendix A. </w:t>
      </w:r>
      <w:r w:rsidRPr="00074A31">
        <w:rPr>
          <w:rFonts w:ascii="Calibri" w:eastAsia="Calibri" w:hAnsi="Calibri" w:cs="Times New Roman"/>
          <w:bCs/>
        </w:rPr>
        <w:t>—</w:t>
      </w:r>
      <w:r w:rsidRPr="00074A31">
        <w:rPr>
          <w:rFonts w:ascii="Times New Roman" w:eastAsia="Times New Roman" w:hAnsi="Times New Roman" w:cs="Times New Roman"/>
          <w:bCs/>
        </w:rPr>
        <w:t xml:space="preserve"> Appendix D.</w:t>
      </w:r>
      <w:r w:rsidRPr="00074A31">
        <w:rPr>
          <w:rFonts w:ascii="Times New Roman" w:eastAsia="Times New Roman" w:hAnsi="Times New Roman" w:cs="Times New Roman"/>
          <w:bCs/>
        </w:rPr>
        <w:tab/>
        <w:t>…</w:t>
      </w:r>
    </w:p>
    <w:p w14:paraId="50E03A6D" w14:textId="77777777" w:rsidR="00074A31" w:rsidRPr="00074A31" w:rsidRDefault="00074A31" w:rsidP="00074A31">
      <w:pPr>
        <w:tabs>
          <w:tab w:val="left" w:pos="720"/>
        </w:tabs>
        <w:spacing w:after="160" w:line="480" w:lineRule="auto"/>
        <w:jc w:val="center"/>
        <w:rPr>
          <w:rFonts w:ascii="Calibri" w:eastAsia="Calibri" w:hAnsi="Calibri" w:cs="Times New Roman"/>
          <w:bCs/>
          <w:sz w:val="22"/>
        </w:rPr>
      </w:pPr>
      <w:r w:rsidRPr="00074A31">
        <w:rPr>
          <w:rFonts w:ascii="Calibri" w:eastAsia="Calibri" w:hAnsi="Calibri" w:cs="Times New Roman"/>
          <w:bCs/>
          <w:sz w:val="22"/>
        </w:rPr>
        <w:t>* * *</w:t>
      </w:r>
    </w:p>
    <w:p w14:paraId="452E458F" w14:textId="77777777" w:rsidR="00074A31" w:rsidRPr="00074A31" w:rsidRDefault="00074A31" w:rsidP="00074A31">
      <w:pPr>
        <w:jc w:val="both"/>
        <w:rPr>
          <w:rFonts w:ascii="Times New Roman" w:eastAsia="Times New Roman" w:hAnsi="Times New Roman" w:cs="Times New Roman"/>
          <w:kern w:val="2"/>
        </w:rPr>
      </w:pPr>
      <w:r w:rsidRPr="00074A31">
        <w:rPr>
          <w:rFonts w:ascii="Times New Roman" w:eastAsia="Times New Roman" w:hAnsi="Times New Roman" w:cs="Times New Roman"/>
          <w:kern w:val="2"/>
        </w:rPr>
        <w:t>Appendix E.  Wastes Excluded under LAC 33:V.105.M</w:t>
      </w:r>
    </w:p>
    <w:p w14:paraId="1B2F5040" w14:textId="77777777" w:rsidR="00074A31" w:rsidRPr="00074A31" w:rsidRDefault="00074A31" w:rsidP="00074A31">
      <w:pPr>
        <w:jc w:val="center"/>
        <w:rPr>
          <w:rFonts w:ascii="Times New Roman" w:eastAsia="Times New Roman" w:hAnsi="Times New Roman" w:cs="Times New Roman"/>
          <w:b/>
          <w:kern w:val="2"/>
        </w:rPr>
      </w:pPr>
    </w:p>
    <w:p w14:paraId="01265DCD" w14:textId="77777777" w:rsidR="00074A31" w:rsidRPr="00074A31" w:rsidRDefault="00074A31" w:rsidP="00074A31">
      <w:pPr>
        <w:rPr>
          <w:rFonts w:ascii="Times New Roman" w:eastAsia="Times New Roman" w:hAnsi="Times New Roman" w:cs="Times New Roman"/>
          <w:kern w:val="2"/>
        </w:rPr>
      </w:pPr>
      <w:r w:rsidRPr="00074A31">
        <w:rPr>
          <w:rFonts w:ascii="Times New Roman" w:eastAsia="Times New Roman" w:hAnsi="Times New Roman" w:cs="Times New Roman"/>
          <w:b/>
          <w:kern w:val="2"/>
        </w:rPr>
        <w:tab/>
      </w:r>
      <w:r w:rsidRPr="00074A31">
        <w:rPr>
          <w:rFonts w:ascii="Times New Roman" w:eastAsia="Times New Roman" w:hAnsi="Times New Roman" w:cs="Times New Roman"/>
          <w:kern w:val="2"/>
        </w:rPr>
        <w:t xml:space="preserve">A. </w:t>
      </w:r>
      <w:r w:rsidRPr="00074A31">
        <w:rPr>
          <w:rFonts w:ascii="Times New Roman" w:eastAsia="Times New Roman" w:hAnsi="Times New Roman" w:cs="Times New Roman"/>
          <w:bCs/>
          <w:kern w:val="2"/>
        </w:rPr>
        <w:t>—</w:t>
      </w:r>
      <w:r w:rsidRPr="00074A31">
        <w:rPr>
          <w:rFonts w:ascii="Times New Roman" w:eastAsia="Times New Roman" w:hAnsi="Times New Roman" w:cs="Times New Roman"/>
          <w:kern w:val="2"/>
        </w:rPr>
        <w:t xml:space="preserve"> B.3.b.  …</w:t>
      </w:r>
    </w:p>
    <w:p w14:paraId="37E93DF1" w14:textId="77777777" w:rsidR="00074A31" w:rsidRPr="00074A31" w:rsidRDefault="00074A31" w:rsidP="00074A31">
      <w:pPr>
        <w:rPr>
          <w:rFonts w:ascii="Times New Roman" w:eastAsia="Times New Roman" w:hAnsi="Times New Roman" w:cs="Times New Roman"/>
          <w:kern w:val="2"/>
        </w:rPr>
      </w:pPr>
    </w:p>
    <w:tbl>
      <w:tblPr>
        <w:tblW w:w="694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45"/>
      </w:tblGrid>
      <w:tr w:rsidR="00074A31" w:rsidRPr="00074A31" w14:paraId="59553502" w14:textId="77777777" w:rsidTr="00A54079">
        <w:trPr>
          <w:cantSplit/>
          <w:trHeight w:val="420"/>
          <w:tblHeader/>
          <w:jc w:val="center"/>
        </w:trPr>
        <w:tc>
          <w:tcPr>
            <w:tcW w:w="6945" w:type="dxa"/>
            <w:shd w:val="clear" w:color="auto" w:fill="auto"/>
            <w:vAlign w:val="center"/>
          </w:tcPr>
          <w:p w14:paraId="09FA106F"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Calibri" w:hAnsi="Times New Roman" w:cs="Times New Roman"/>
                <w:kern w:val="2"/>
              </w:rPr>
            </w:pPr>
            <w:r w:rsidRPr="00074A31">
              <w:rPr>
                <w:rFonts w:ascii="Times New Roman" w:eastAsia="Calibri" w:hAnsi="Times New Roman" w:cs="Times New Roman"/>
                <w:kern w:val="2"/>
              </w:rPr>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7D608BA2" w14:textId="77777777" w:rsidTr="00A54079">
        <w:trPr>
          <w:trHeight w:val="721"/>
          <w:tblHeader/>
          <w:jc w:val="center"/>
        </w:trPr>
        <w:tc>
          <w:tcPr>
            <w:tcW w:w="6945" w:type="dxa"/>
            <w:shd w:val="clear" w:color="auto" w:fill="auto"/>
          </w:tcPr>
          <w:p w14:paraId="34DF80E4" w14:textId="77777777" w:rsidR="00074A31" w:rsidRPr="00074A31" w:rsidRDefault="00074A31" w:rsidP="00074A31">
            <w:pPr>
              <w:widowControl w:val="0"/>
              <w:spacing w:line="480" w:lineRule="auto"/>
              <w:jc w:val="center"/>
              <w:rPr>
                <w:rFonts w:ascii="Times New Roman" w:eastAsia="Calibri" w:hAnsi="Times New Roman" w:cs="Times New Roman"/>
                <w:kern w:val="2"/>
              </w:rPr>
            </w:pPr>
            <w:r w:rsidRPr="00074A31">
              <w:rPr>
                <w:rFonts w:ascii="Times New Roman" w:eastAsia="Calibri" w:hAnsi="Times New Roman" w:cs="Times New Roman"/>
              </w:rPr>
              <w:t>BFI Waste Systems of Louisiana LLC, Colonial Landfill, Sorrento, LA</w:t>
            </w:r>
          </w:p>
        </w:tc>
      </w:tr>
      <w:tr w:rsidR="00074A31" w:rsidRPr="00074A31" w14:paraId="6AB86E0A" w14:textId="77777777" w:rsidTr="00A54079">
        <w:trPr>
          <w:trHeight w:val="413"/>
          <w:jc w:val="center"/>
        </w:trPr>
        <w:tc>
          <w:tcPr>
            <w:tcW w:w="6945" w:type="dxa"/>
          </w:tcPr>
          <w:p w14:paraId="7BD9B9C3" w14:textId="77777777" w:rsidR="00074A31" w:rsidRPr="00074A31" w:rsidRDefault="00074A31" w:rsidP="00074A31">
            <w:pPr>
              <w:widowControl w:val="0"/>
              <w:spacing w:line="480" w:lineRule="auto"/>
              <w:jc w:val="center"/>
              <w:rPr>
                <w:rFonts w:ascii="Times New Roman" w:eastAsia="Calibri" w:hAnsi="Times New Roman" w:cs="Times New Roman"/>
                <w:kern w:val="2"/>
              </w:rPr>
            </w:pPr>
            <w:r w:rsidRPr="00074A31">
              <w:rPr>
                <w:rFonts w:ascii="Times New Roman" w:eastAsia="Calibri" w:hAnsi="Times New Roman" w:cs="Times New Roman"/>
                <w:kern w:val="2"/>
              </w:rPr>
              <w:t>* * *</w:t>
            </w:r>
          </w:p>
        </w:tc>
      </w:tr>
    </w:tbl>
    <w:p w14:paraId="40626DBE" w14:textId="77777777" w:rsidR="00074A31" w:rsidRPr="00074A31" w:rsidRDefault="00074A31" w:rsidP="00074A31">
      <w:pPr>
        <w:jc w:val="both"/>
        <w:rPr>
          <w:rFonts w:ascii="Times New Roman" w:eastAsia="Times New Roman" w:hAnsi="Times New Roman" w:cs="Times New Roman"/>
          <w:kern w:val="2"/>
        </w:rPr>
      </w:pPr>
    </w:p>
    <w:tbl>
      <w:tblPr>
        <w:tblW w:w="6935"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35"/>
      </w:tblGrid>
      <w:tr w:rsidR="00074A31" w:rsidRPr="00074A31" w14:paraId="271763B5" w14:textId="77777777" w:rsidTr="00A54079">
        <w:trPr>
          <w:cantSplit/>
          <w:trHeight w:val="197"/>
          <w:tblHeader/>
          <w:jc w:val="center"/>
        </w:trPr>
        <w:tc>
          <w:tcPr>
            <w:tcW w:w="6935" w:type="dxa"/>
            <w:shd w:val="clear" w:color="auto" w:fill="auto"/>
            <w:vAlign w:val="center"/>
          </w:tcPr>
          <w:p w14:paraId="1B18F262"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Calibri" w:hAnsi="Times New Roman" w:cs="Times New Roman"/>
                <w:kern w:val="2"/>
              </w:rPr>
            </w:pPr>
            <w:r w:rsidRPr="00074A31">
              <w:rPr>
                <w:rFonts w:ascii="Times New Roman" w:eastAsia="Calibri" w:hAnsi="Times New Roman" w:cs="Times New Roman"/>
                <w:kern w:val="2"/>
              </w:rPr>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3804C08F" w14:textId="77777777" w:rsidTr="00A54079">
        <w:trPr>
          <w:cantSplit/>
          <w:trHeight w:val="170"/>
          <w:tblHeader/>
          <w:jc w:val="center"/>
          <w:hidden/>
        </w:trPr>
        <w:tc>
          <w:tcPr>
            <w:tcW w:w="6935" w:type="dxa"/>
            <w:shd w:val="clear" w:color="auto" w:fill="auto"/>
          </w:tcPr>
          <w:p w14:paraId="4758E2E2"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outlineLvl w:val="0"/>
              <w:rPr>
                <w:rFonts w:ascii="Times New Roman" w:eastAsia="Times New Roman" w:hAnsi="Times New Roman" w:cs="Times New Roman"/>
                <w:bCs/>
              </w:rPr>
            </w:pPr>
            <w:r w:rsidRPr="00074A31">
              <w:rPr>
                <w:rFonts w:ascii="Times New Roman" w:eastAsia="Times New Roman" w:hAnsi="Times New Roman" w:cs="Times New Roman"/>
                <w:vanish/>
              </w:rPr>
              <w:t xml:space="preserve">Denka Performance Elastomer LLC, LaPlace, LA </w:t>
            </w:r>
            <w:r w:rsidRPr="00074A31">
              <w:rPr>
                <w:rFonts w:ascii="Times New Roman" w:eastAsia="Times New Roman" w:hAnsi="Times New Roman" w:cs="Times New Roman"/>
              </w:rPr>
              <w:t xml:space="preserve">Denka Performance Elastomer LLC, </w:t>
            </w:r>
            <w:proofErr w:type="spellStart"/>
            <w:r w:rsidRPr="00074A31">
              <w:rPr>
                <w:rFonts w:ascii="Times New Roman" w:eastAsia="Times New Roman" w:hAnsi="Times New Roman" w:cs="Times New Roman"/>
              </w:rPr>
              <w:t>LaPlace</w:t>
            </w:r>
            <w:proofErr w:type="spellEnd"/>
            <w:r w:rsidRPr="00074A31">
              <w:rPr>
                <w:rFonts w:ascii="Times New Roman" w:eastAsia="Times New Roman" w:hAnsi="Times New Roman" w:cs="Times New Roman"/>
              </w:rPr>
              <w:t xml:space="preserve"> LA</w:t>
            </w:r>
            <w:r w:rsidRPr="00074A31">
              <w:rPr>
                <w:rFonts w:ascii="Times New Roman" w:eastAsia="Times New Roman" w:hAnsi="Times New Roman" w:cs="Times New Roman"/>
                <w:vanish/>
              </w:rPr>
              <w:t>Denka Performance Elastomer LLC, LaPlace, LA Denka Performance Elastomer LLC, LaPlace, LA Denka Performance Elastomer LLC, LaPlace, LA</w:t>
            </w:r>
          </w:p>
        </w:tc>
      </w:tr>
      <w:tr w:rsidR="00074A31" w:rsidRPr="00074A31" w14:paraId="489B5976" w14:textId="77777777" w:rsidTr="00A54079">
        <w:trPr>
          <w:jc w:val="center"/>
        </w:trPr>
        <w:tc>
          <w:tcPr>
            <w:tcW w:w="6935" w:type="dxa"/>
          </w:tcPr>
          <w:p w14:paraId="295BFA3A" w14:textId="77777777" w:rsidR="00074A31" w:rsidRPr="00074A31" w:rsidRDefault="00074A31" w:rsidP="00074A31">
            <w:pPr>
              <w:widowControl w:val="0"/>
              <w:spacing w:line="480" w:lineRule="auto"/>
              <w:jc w:val="center"/>
              <w:rPr>
                <w:rFonts w:ascii="Times New Roman" w:eastAsia="Calibri" w:hAnsi="Times New Roman" w:cs="Times New Roman"/>
              </w:rPr>
            </w:pPr>
            <w:r w:rsidRPr="00074A31">
              <w:rPr>
                <w:rFonts w:ascii="Times New Roman" w:eastAsia="Calibri" w:hAnsi="Times New Roman" w:cs="Times New Roman"/>
              </w:rPr>
              <w:t>* * *</w:t>
            </w:r>
          </w:p>
        </w:tc>
      </w:tr>
    </w:tbl>
    <w:p w14:paraId="0AC3EE45" w14:textId="77777777" w:rsidR="00074A31" w:rsidRPr="00074A31" w:rsidRDefault="00074A31" w:rsidP="00074A31">
      <w:pPr>
        <w:jc w:val="both"/>
        <w:rPr>
          <w:rFonts w:ascii="Times New Roman" w:eastAsia="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7020"/>
      </w:tblGrid>
      <w:tr w:rsidR="00074A31" w:rsidRPr="00074A31" w14:paraId="0A20AAD4" w14:textId="77777777" w:rsidTr="00A54079">
        <w:trPr>
          <w:tblHeader/>
          <w:jc w:val="center"/>
        </w:trPr>
        <w:tc>
          <w:tcPr>
            <w:tcW w:w="7020" w:type="dxa"/>
            <w:shd w:val="clear" w:color="auto" w:fill="auto"/>
          </w:tcPr>
          <w:p w14:paraId="19987DD9"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lastRenderedPageBreak/>
              <w:t>Table 1 – Wastes Excluded</w:t>
            </w:r>
          </w:p>
        </w:tc>
      </w:tr>
      <w:tr w:rsidR="00074A31" w:rsidRPr="00074A31" w14:paraId="7A6A0F03" w14:textId="77777777" w:rsidTr="00A54079">
        <w:trPr>
          <w:tblHeader/>
          <w:jc w:val="center"/>
        </w:trPr>
        <w:tc>
          <w:tcPr>
            <w:tcW w:w="7020" w:type="dxa"/>
            <w:shd w:val="clear" w:color="auto" w:fill="auto"/>
          </w:tcPr>
          <w:p w14:paraId="224634F3"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rPr>
              <w:t>Lyondell Chemical Company, Lake Charles, LA</w:t>
            </w:r>
          </w:p>
        </w:tc>
      </w:tr>
      <w:tr w:rsidR="00074A31" w:rsidRPr="00074A31" w14:paraId="0909A123" w14:textId="77777777" w:rsidTr="00A54079">
        <w:trPr>
          <w:jc w:val="center"/>
        </w:trPr>
        <w:tc>
          <w:tcPr>
            <w:tcW w:w="7020" w:type="dxa"/>
            <w:shd w:val="clear" w:color="auto" w:fill="auto"/>
          </w:tcPr>
          <w:p w14:paraId="51CEE3E5" w14:textId="77777777" w:rsidR="00074A31" w:rsidRPr="00074A31" w:rsidRDefault="00074A31" w:rsidP="00074A31">
            <w:pPr>
              <w:widowControl w:val="0"/>
              <w:spacing w:line="480" w:lineRule="auto"/>
              <w:jc w:val="center"/>
              <w:rPr>
                <w:rFonts w:ascii="Times New Roman" w:eastAsia="Times New Roman" w:hAnsi="Times New Roman" w:cs="Times New Roman"/>
              </w:rPr>
            </w:pPr>
            <w:r w:rsidRPr="00074A31">
              <w:rPr>
                <w:rFonts w:ascii="Times New Roman" w:eastAsia="Times New Roman" w:hAnsi="Times New Roman" w:cs="Times New Roman"/>
              </w:rPr>
              <w:t>* * *</w:t>
            </w:r>
          </w:p>
        </w:tc>
      </w:tr>
    </w:tbl>
    <w:p w14:paraId="51776021" w14:textId="77777777" w:rsidR="00074A31" w:rsidRPr="00074A31" w:rsidRDefault="00074A31" w:rsidP="00074A31">
      <w:pPr>
        <w:spacing w:line="480" w:lineRule="auto"/>
        <w:jc w:val="both"/>
        <w:rPr>
          <w:rFonts w:ascii="Times New Roman" w:eastAsia="Times New Roman" w:hAnsi="Times New Roman" w:cs="Times New Roman"/>
        </w:rPr>
      </w:pPr>
    </w:p>
    <w:tbl>
      <w:tblPr>
        <w:tblW w:w="6999"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6999"/>
      </w:tblGrid>
      <w:tr w:rsidR="00074A31" w:rsidRPr="00074A31" w14:paraId="4EF7E353" w14:textId="77777777" w:rsidTr="00A54079">
        <w:trPr>
          <w:cantSplit/>
          <w:trHeight w:val="170"/>
          <w:tblHeader/>
          <w:jc w:val="center"/>
        </w:trPr>
        <w:tc>
          <w:tcPr>
            <w:tcW w:w="6999" w:type="dxa"/>
            <w:shd w:val="clear" w:color="auto" w:fill="auto"/>
            <w:vAlign w:val="center"/>
          </w:tcPr>
          <w:p w14:paraId="6BAFB677"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Calibri" w:hAnsi="Times New Roman" w:cs="Times New Roman"/>
                <w:kern w:val="2"/>
              </w:rPr>
            </w:pPr>
            <w:r w:rsidRPr="00074A31">
              <w:rPr>
                <w:rFonts w:ascii="Times New Roman" w:eastAsia="Calibri" w:hAnsi="Times New Roman" w:cs="Times New Roman"/>
                <w:kern w:val="2"/>
              </w:rPr>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12E9B389" w14:textId="77777777" w:rsidTr="00A54079">
        <w:trPr>
          <w:trHeight w:val="152"/>
          <w:tblHeader/>
          <w:jc w:val="center"/>
        </w:trPr>
        <w:tc>
          <w:tcPr>
            <w:tcW w:w="6999" w:type="dxa"/>
            <w:shd w:val="clear" w:color="auto" w:fill="auto"/>
          </w:tcPr>
          <w:p w14:paraId="16D8B6CE" w14:textId="77777777" w:rsidR="00074A31" w:rsidRPr="00074A31" w:rsidRDefault="00074A31" w:rsidP="00074A31">
            <w:pPr>
              <w:widowControl w:val="0"/>
              <w:tabs>
                <w:tab w:val="left" w:pos="143"/>
                <w:tab w:val="left" w:pos="323"/>
                <w:tab w:val="left" w:pos="683"/>
                <w:tab w:val="left" w:pos="2843"/>
                <w:tab w:val="left" w:pos="3563"/>
                <w:tab w:val="left" w:pos="4283"/>
                <w:tab w:val="left" w:pos="5003"/>
              </w:tabs>
              <w:spacing w:line="480" w:lineRule="auto"/>
              <w:jc w:val="center"/>
              <w:rPr>
                <w:rFonts w:ascii="Times New Roman" w:eastAsia="Calibri" w:hAnsi="Times New Roman" w:cs="Times New Roman"/>
                <w:bCs/>
              </w:rPr>
            </w:pPr>
            <w:r w:rsidRPr="00074A31">
              <w:rPr>
                <w:rFonts w:ascii="Times New Roman" w:eastAsia="Calibri" w:hAnsi="Times New Roman" w:cs="Times New Roman"/>
                <w:bCs/>
              </w:rPr>
              <w:t xml:space="preserve">Marathon Oil Co., </w:t>
            </w:r>
            <w:proofErr w:type="spellStart"/>
            <w:r w:rsidRPr="00074A31">
              <w:rPr>
                <w:rFonts w:ascii="Times New Roman" w:eastAsia="Calibri" w:hAnsi="Times New Roman" w:cs="Times New Roman"/>
                <w:bCs/>
              </w:rPr>
              <w:t>Garyville</w:t>
            </w:r>
            <w:proofErr w:type="spellEnd"/>
            <w:r w:rsidRPr="00074A31">
              <w:rPr>
                <w:rFonts w:ascii="Times New Roman" w:eastAsia="Calibri" w:hAnsi="Times New Roman" w:cs="Times New Roman"/>
                <w:bCs/>
              </w:rPr>
              <w:t>, LA</w:t>
            </w:r>
          </w:p>
        </w:tc>
      </w:tr>
      <w:tr w:rsidR="00074A31" w:rsidRPr="00074A31" w14:paraId="57FED4FC" w14:textId="77777777" w:rsidTr="00A54079">
        <w:trPr>
          <w:jc w:val="center"/>
        </w:trPr>
        <w:tc>
          <w:tcPr>
            <w:tcW w:w="6999" w:type="dxa"/>
          </w:tcPr>
          <w:p w14:paraId="2A99592D" w14:textId="77777777" w:rsidR="00074A31" w:rsidRPr="00074A31" w:rsidRDefault="00074A31" w:rsidP="00074A31">
            <w:pPr>
              <w:widowControl w:val="0"/>
              <w:spacing w:line="480" w:lineRule="auto"/>
              <w:jc w:val="center"/>
              <w:rPr>
                <w:rFonts w:ascii="Times New Roman" w:eastAsia="Calibri" w:hAnsi="Times New Roman" w:cs="Times New Roman"/>
              </w:rPr>
            </w:pPr>
            <w:r w:rsidRPr="00074A31">
              <w:rPr>
                <w:rFonts w:ascii="Times New Roman" w:eastAsia="Calibri" w:hAnsi="Times New Roman" w:cs="Times New Roman"/>
              </w:rPr>
              <w:t>* * *</w:t>
            </w:r>
          </w:p>
        </w:tc>
      </w:tr>
    </w:tbl>
    <w:p w14:paraId="663DA5E1" w14:textId="77777777" w:rsidR="00074A31" w:rsidRPr="00074A31" w:rsidRDefault="00074A31" w:rsidP="00074A31">
      <w:pPr>
        <w:spacing w:line="480" w:lineRule="auto"/>
        <w:rPr>
          <w:rFonts w:ascii="Times New Roman" w:eastAsia="Calibri" w:hAnsi="Times New Roman" w:cs="Times New Roman"/>
        </w:rPr>
      </w:pPr>
    </w:p>
    <w:tbl>
      <w:tblPr>
        <w:tblW w:w="7018"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CellMar>
          <w:left w:w="115" w:type="dxa"/>
          <w:right w:w="115" w:type="dxa"/>
        </w:tblCellMar>
        <w:tblLook w:val="0000" w:firstRow="0" w:lastRow="0" w:firstColumn="0" w:lastColumn="0" w:noHBand="0" w:noVBand="0"/>
      </w:tblPr>
      <w:tblGrid>
        <w:gridCol w:w="7018"/>
      </w:tblGrid>
      <w:tr w:rsidR="00074A31" w:rsidRPr="00074A31" w14:paraId="4CBC2C0B" w14:textId="77777777" w:rsidTr="00A54079">
        <w:trPr>
          <w:cantSplit/>
          <w:trHeight w:val="143"/>
          <w:tblHeader/>
          <w:jc w:val="center"/>
        </w:trPr>
        <w:tc>
          <w:tcPr>
            <w:tcW w:w="7018" w:type="dxa"/>
            <w:shd w:val="clear" w:color="auto" w:fill="auto"/>
            <w:vAlign w:val="center"/>
          </w:tcPr>
          <w:p w14:paraId="66119CE0" w14:textId="77777777" w:rsidR="00074A31" w:rsidRPr="00074A31" w:rsidRDefault="00074A31" w:rsidP="00074A31">
            <w:pPr>
              <w:widowControl w:val="0"/>
              <w:tabs>
                <w:tab w:val="left" w:pos="748"/>
                <w:tab w:val="left" w:pos="1496"/>
                <w:tab w:val="left" w:pos="2244"/>
                <w:tab w:val="left" w:pos="2992"/>
                <w:tab w:val="left" w:pos="3553"/>
                <w:tab w:val="left" w:pos="4301"/>
              </w:tabs>
              <w:spacing w:line="480" w:lineRule="auto"/>
              <w:ind w:right="14"/>
              <w:jc w:val="center"/>
              <w:rPr>
                <w:rFonts w:ascii="Times New Roman" w:eastAsia="Calibri" w:hAnsi="Times New Roman" w:cs="Times New Roman"/>
                <w:kern w:val="2"/>
              </w:rPr>
            </w:pPr>
            <w:r w:rsidRPr="00074A31">
              <w:rPr>
                <w:rFonts w:ascii="Times New Roman" w:eastAsia="Calibri" w:hAnsi="Times New Roman" w:cs="Times New Roman"/>
                <w:kern w:val="2"/>
              </w:rPr>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18265FAA" w14:textId="77777777" w:rsidTr="00A54079">
        <w:trPr>
          <w:trHeight w:val="143"/>
          <w:tblHeader/>
          <w:jc w:val="center"/>
        </w:trPr>
        <w:tc>
          <w:tcPr>
            <w:tcW w:w="7018" w:type="dxa"/>
            <w:shd w:val="clear" w:color="auto" w:fill="auto"/>
          </w:tcPr>
          <w:p w14:paraId="69F286B3"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rPr>
              <w:t>Motiva Enterprises LLC, Norco, LA</w:t>
            </w:r>
          </w:p>
        </w:tc>
      </w:tr>
      <w:tr w:rsidR="00074A31" w:rsidRPr="00074A31" w14:paraId="5044442E" w14:textId="77777777" w:rsidTr="00A54079">
        <w:trPr>
          <w:jc w:val="center"/>
        </w:trPr>
        <w:tc>
          <w:tcPr>
            <w:tcW w:w="7018" w:type="dxa"/>
          </w:tcPr>
          <w:p w14:paraId="1330C00C" w14:textId="77777777" w:rsidR="00074A31" w:rsidRPr="00074A31" w:rsidRDefault="00074A31" w:rsidP="00074A31">
            <w:pPr>
              <w:widowControl w:val="0"/>
              <w:spacing w:line="480" w:lineRule="auto"/>
              <w:jc w:val="center"/>
              <w:rPr>
                <w:rFonts w:ascii="Times New Roman" w:eastAsia="Calibri" w:hAnsi="Times New Roman" w:cs="Times New Roman"/>
                <w:kern w:val="2"/>
              </w:rPr>
            </w:pPr>
            <w:r w:rsidRPr="00074A31">
              <w:rPr>
                <w:rFonts w:ascii="Times New Roman" w:eastAsia="Calibri" w:hAnsi="Times New Roman" w:cs="Times New Roman"/>
                <w:kern w:val="2"/>
              </w:rPr>
              <w:t>* * *</w:t>
            </w:r>
          </w:p>
        </w:tc>
      </w:tr>
    </w:tbl>
    <w:p w14:paraId="65F87EE9" w14:textId="77777777" w:rsidR="00074A31" w:rsidRPr="00074A31" w:rsidRDefault="00074A31" w:rsidP="00074A31">
      <w:pPr>
        <w:spacing w:line="480" w:lineRule="auto"/>
        <w:rPr>
          <w:rFonts w:ascii="Times New Roman" w:eastAsia="Calibri" w:hAnsi="Times New Roman" w:cs="Times New Roman"/>
        </w:rPr>
      </w:pPr>
    </w:p>
    <w:tbl>
      <w:tblPr>
        <w:tblW w:w="0" w:type="auto"/>
        <w:tblInd w:w="127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shd w:val="clear" w:color="auto" w:fill="E0E0E0"/>
        <w:tblLook w:val="01E0" w:firstRow="1" w:lastRow="1" w:firstColumn="1" w:lastColumn="1" w:noHBand="0" w:noVBand="0"/>
      </w:tblPr>
      <w:tblGrid>
        <w:gridCol w:w="7020"/>
      </w:tblGrid>
      <w:tr w:rsidR="00074A31" w:rsidRPr="00074A31" w14:paraId="1E0DD68B" w14:textId="77777777" w:rsidTr="00A54079">
        <w:trPr>
          <w:tblHeader/>
        </w:trPr>
        <w:tc>
          <w:tcPr>
            <w:tcW w:w="7020" w:type="dxa"/>
            <w:shd w:val="clear" w:color="auto" w:fill="auto"/>
          </w:tcPr>
          <w:p w14:paraId="0929A78F" w14:textId="77777777" w:rsidR="00074A31" w:rsidRPr="00074A31" w:rsidRDefault="00074A31" w:rsidP="00074A31">
            <w:pPr>
              <w:widowControl w:val="0"/>
              <w:spacing w:line="480" w:lineRule="auto"/>
              <w:ind w:left="-648"/>
              <w:jc w:val="center"/>
              <w:rPr>
                <w:rFonts w:ascii="Times New Roman" w:eastAsia="Calibri" w:hAnsi="Times New Roman" w:cs="Times New Roman"/>
                <w:bCs/>
                <w:kern w:val="2"/>
              </w:rPr>
            </w:pPr>
            <w:r w:rsidRPr="00074A31">
              <w:rPr>
                <w:rFonts w:ascii="Times New Roman" w:eastAsia="Calibri" w:hAnsi="Times New Roman" w:cs="Times New Roman"/>
                <w:kern w:val="2"/>
              </w:rPr>
              <w:t xml:space="preserve">Table 1 </w:t>
            </w:r>
            <w:r w:rsidRPr="00074A31">
              <w:rPr>
                <w:rFonts w:ascii="Times New Roman" w:eastAsia="Calibri" w:hAnsi="Times New Roman" w:cs="Times New Roman"/>
                <w:bCs/>
                <w:kern w:val="2"/>
              </w:rPr>
              <w:t>–</w:t>
            </w:r>
            <w:r w:rsidRPr="00074A31">
              <w:rPr>
                <w:rFonts w:ascii="Times New Roman" w:eastAsia="Calibri" w:hAnsi="Times New Roman" w:cs="Times New Roman"/>
                <w:kern w:val="2"/>
              </w:rPr>
              <w:t xml:space="preserve"> Wastes Excluded</w:t>
            </w:r>
          </w:p>
        </w:tc>
      </w:tr>
      <w:tr w:rsidR="00074A31" w:rsidRPr="00074A31" w14:paraId="6C0B5EB1" w14:textId="77777777" w:rsidTr="00A54079">
        <w:trPr>
          <w:tblHeader/>
        </w:trPr>
        <w:tc>
          <w:tcPr>
            <w:tcW w:w="7020" w:type="dxa"/>
            <w:shd w:val="clear" w:color="auto" w:fill="auto"/>
          </w:tcPr>
          <w:p w14:paraId="13EC51D0"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Syngenta Crop Protection, Inc., St. Gabriel, LA</w:t>
            </w:r>
          </w:p>
        </w:tc>
      </w:tr>
      <w:tr w:rsidR="00074A31" w:rsidRPr="00074A31" w14:paraId="31C9A194" w14:textId="77777777" w:rsidTr="00A54079">
        <w:tc>
          <w:tcPr>
            <w:tcW w:w="7020" w:type="dxa"/>
          </w:tcPr>
          <w:p w14:paraId="0B3CAD1B"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 * *</w:t>
            </w:r>
          </w:p>
        </w:tc>
      </w:tr>
    </w:tbl>
    <w:p w14:paraId="1F486A28" w14:textId="77777777" w:rsidR="00074A31" w:rsidRPr="00074A31" w:rsidRDefault="00074A31" w:rsidP="00074A31">
      <w:pPr>
        <w:spacing w:line="480" w:lineRule="auto"/>
        <w:rPr>
          <w:rFonts w:ascii="Times New Roman" w:eastAsia="Calibri"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5"/>
      </w:tblGrid>
      <w:tr w:rsidR="00074A31" w:rsidRPr="00074A31" w14:paraId="5738162B" w14:textId="77777777" w:rsidTr="00A54079">
        <w:trPr>
          <w:jc w:val="center"/>
        </w:trPr>
        <w:tc>
          <w:tcPr>
            <w:tcW w:w="7095" w:type="dxa"/>
            <w:shd w:val="clear" w:color="auto" w:fill="auto"/>
          </w:tcPr>
          <w:p w14:paraId="381D4DA2"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kern w:val="2"/>
              </w:rPr>
              <w:t>Table 2 – One-Time Wastes Excluded</w:t>
            </w:r>
          </w:p>
        </w:tc>
      </w:tr>
      <w:tr w:rsidR="00074A31" w:rsidRPr="00074A31" w14:paraId="1CF9F4FD" w14:textId="77777777" w:rsidTr="00A54079">
        <w:trPr>
          <w:jc w:val="center"/>
        </w:trPr>
        <w:tc>
          <w:tcPr>
            <w:tcW w:w="7095" w:type="dxa"/>
            <w:shd w:val="clear" w:color="auto" w:fill="auto"/>
          </w:tcPr>
          <w:p w14:paraId="1DB7530E"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Murphy Exploration and Production Company, Amelia, LA</w:t>
            </w:r>
          </w:p>
        </w:tc>
      </w:tr>
      <w:tr w:rsidR="00074A31" w:rsidRPr="00074A31" w14:paraId="568FF4DC" w14:textId="77777777" w:rsidTr="00A54079">
        <w:trPr>
          <w:jc w:val="center"/>
        </w:trPr>
        <w:tc>
          <w:tcPr>
            <w:tcW w:w="7095" w:type="dxa"/>
          </w:tcPr>
          <w:p w14:paraId="3C384A87"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 * *</w:t>
            </w:r>
          </w:p>
        </w:tc>
      </w:tr>
    </w:tbl>
    <w:p w14:paraId="6BB17143" w14:textId="77777777" w:rsidR="00074A31" w:rsidRPr="00074A31" w:rsidRDefault="00074A31" w:rsidP="00074A31">
      <w:pPr>
        <w:spacing w:line="480" w:lineRule="auto"/>
        <w:rPr>
          <w:rFonts w:ascii="Times New Roman" w:eastAsia="Calibri"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074A31" w:rsidRPr="00074A31" w14:paraId="3B1728B1" w14:textId="77777777" w:rsidTr="00A54079">
        <w:trPr>
          <w:jc w:val="center"/>
        </w:trPr>
        <w:tc>
          <w:tcPr>
            <w:tcW w:w="7098" w:type="dxa"/>
            <w:shd w:val="clear" w:color="auto" w:fill="auto"/>
          </w:tcPr>
          <w:p w14:paraId="11531346"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kern w:val="2"/>
              </w:rPr>
              <w:t>Table 2 – One-Time Wastes Excluded</w:t>
            </w:r>
          </w:p>
        </w:tc>
      </w:tr>
      <w:tr w:rsidR="00074A31" w:rsidRPr="00074A31" w14:paraId="2351418A" w14:textId="77777777" w:rsidTr="00A54079">
        <w:trPr>
          <w:jc w:val="center"/>
        </w:trPr>
        <w:tc>
          <w:tcPr>
            <w:tcW w:w="7098" w:type="dxa"/>
            <w:shd w:val="clear" w:color="auto" w:fill="auto"/>
          </w:tcPr>
          <w:p w14:paraId="0280D3FD"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Conrad Industries, Inc. (Conrad), Morgan City, LA</w:t>
            </w:r>
          </w:p>
        </w:tc>
      </w:tr>
      <w:tr w:rsidR="00074A31" w:rsidRPr="00074A31" w14:paraId="2689B4C4" w14:textId="77777777" w:rsidTr="00A54079">
        <w:trPr>
          <w:jc w:val="center"/>
        </w:trPr>
        <w:tc>
          <w:tcPr>
            <w:tcW w:w="7098" w:type="dxa"/>
          </w:tcPr>
          <w:p w14:paraId="7F4C208D" w14:textId="77777777" w:rsidR="00074A31" w:rsidRPr="00074A31" w:rsidRDefault="00074A31" w:rsidP="00074A31">
            <w:pPr>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rPr>
              <w:t>* * *</w:t>
            </w:r>
          </w:p>
        </w:tc>
      </w:tr>
    </w:tbl>
    <w:p w14:paraId="0BE87A47" w14:textId="77777777" w:rsidR="00074A31" w:rsidRPr="00074A31" w:rsidRDefault="00074A31" w:rsidP="00074A31">
      <w:pPr>
        <w:jc w:val="both"/>
        <w:rPr>
          <w:rFonts w:ascii="Times New Roman" w:eastAsia="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074A31" w:rsidRPr="00074A31" w14:paraId="6DFE0C3E" w14:textId="77777777" w:rsidTr="00A54079">
        <w:trPr>
          <w:jc w:val="center"/>
        </w:trPr>
        <w:tc>
          <w:tcPr>
            <w:tcW w:w="7098" w:type="dxa"/>
            <w:shd w:val="clear" w:color="auto" w:fill="auto"/>
          </w:tcPr>
          <w:p w14:paraId="70A7BCAC"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kern w:val="2"/>
              </w:rPr>
              <w:t>Table 2 – One-Time Wastes Excluded</w:t>
            </w:r>
          </w:p>
        </w:tc>
      </w:tr>
      <w:tr w:rsidR="00074A31" w:rsidRPr="00074A31" w14:paraId="1BC8766A" w14:textId="77777777" w:rsidTr="00A54079">
        <w:trPr>
          <w:jc w:val="center"/>
        </w:trPr>
        <w:tc>
          <w:tcPr>
            <w:tcW w:w="7098" w:type="dxa"/>
            <w:shd w:val="clear" w:color="auto" w:fill="auto"/>
          </w:tcPr>
          <w:p w14:paraId="462886CE" w14:textId="77777777" w:rsidR="00074A31" w:rsidRPr="00074A31" w:rsidRDefault="00074A31" w:rsidP="00074A31">
            <w:pPr>
              <w:widowControl w:val="0"/>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bCs/>
                <w:kern w:val="2"/>
              </w:rPr>
              <w:t>Marine Shale Processors, Inc., Amelia LA</w:t>
            </w:r>
          </w:p>
        </w:tc>
      </w:tr>
      <w:tr w:rsidR="00074A31" w:rsidRPr="00074A31" w14:paraId="0BD0C0C0" w14:textId="77777777" w:rsidTr="00A54079">
        <w:trPr>
          <w:jc w:val="center"/>
        </w:trPr>
        <w:tc>
          <w:tcPr>
            <w:tcW w:w="7098" w:type="dxa"/>
          </w:tcPr>
          <w:p w14:paraId="7473715C" w14:textId="77777777" w:rsidR="00074A31" w:rsidRPr="00074A31" w:rsidRDefault="00074A31" w:rsidP="00074A31">
            <w:pPr>
              <w:spacing w:line="480" w:lineRule="auto"/>
              <w:jc w:val="center"/>
              <w:rPr>
                <w:rFonts w:ascii="Times New Roman" w:eastAsia="Calibri" w:hAnsi="Times New Roman" w:cs="Times New Roman"/>
                <w:bCs/>
                <w:kern w:val="2"/>
              </w:rPr>
            </w:pPr>
            <w:r w:rsidRPr="00074A31">
              <w:rPr>
                <w:rFonts w:ascii="Times New Roman" w:eastAsia="Calibri" w:hAnsi="Times New Roman" w:cs="Times New Roman"/>
              </w:rPr>
              <w:t>* * *</w:t>
            </w:r>
          </w:p>
        </w:tc>
      </w:tr>
    </w:tbl>
    <w:p w14:paraId="627F2FA2" w14:textId="77777777" w:rsidR="00074A31" w:rsidRPr="00074A31" w:rsidRDefault="00074A31" w:rsidP="00074A31">
      <w:pPr>
        <w:jc w:val="both"/>
        <w:rPr>
          <w:rFonts w:ascii="Times New Roman" w:eastAsia="Times New Roman" w:hAnsi="Times New Roman" w:cs="Times New Roman"/>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7098"/>
      </w:tblGrid>
      <w:tr w:rsidR="00074A31" w:rsidRPr="00074A31" w14:paraId="4A095B68" w14:textId="77777777" w:rsidTr="00A54079">
        <w:trPr>
          <w:jc w:val="center"/>
        </w:trPr>
        <w:tc>
          <w:tcPr>
            <w:tcW w:w="7098" w:type="dxa"/>
            <w:tcBorders>
              <w:top w:val="single" w:sz="4" w:space="0" w:color="auto"/>
              <w:left w:val="double" w:sz="4" w:space="0" w:color="auto"/>
              <w:bottom w:val="single" w:sz="4" w:space="0" w:color="auto"/>
              <w:right w:val="double" w:sz="4" w:space="0" w:color="auto"/>
            </w:tcBorders>
            <w:shd w:val="clear" w:color="auto" w:fill="auto"/>
          </w:tcPr>
          <w:p w14:paraId="4453484C" w14:textId="77777777" w:rsidR="00074A31" w:rsidRPr="00074A31" w:rsidRDefault="00074A31" w:rsidP="00074A31">
            <w:pPr>
              <w:spacing w:line="480" w:lineRule="auto"/>
              <w:ind w:firstLine="187"/>
              <w:jc w:val="center"/>
              <w:rPr>
                <w:rFonts w:ascii="Times New Roman" w:eastAsia="Times New Roman" w:hAnsi="Times New Roman" w:cs="Times New Roman"/>
                <w:kern w:val="2"/>
                <w:u w:val="single"/>
              </w:rPr>
            </w:pPr>
            <w:r w:rsidRPr="00074A31">
              <w:rPr>
                <w:rFonts w:ascii="Times New Roman" w:eastAsia="Times New Roman" w:hAnsi="Times New Roman" w:cs="Times New Roman"/>
                <w:kern w:val="2"/>
                <w:u w:val="single"/>
              </w:rPr>
              <w:t>Table 2 – One-Time Wastes Excluded</w:t>
            </w:r>
          </w:p>
        </w:tc>
      </w:tr>
      <w:tr w:rsidR="00074A31" w:rsidRPr="00074A31" w14:paraId="1E0CADD2" w14:textId="77777777" w:rsidTr="00A54079">
        <w:trPr>
          <w:jc w:val="center"/>
        </w:trPr>
        <w:tc>
          <w:tcPr>
            <w:tcW w:w="7098" w:type="dxa"/>
            <w:tcBorders>
              <w:top w:val="single" w:sz="4" w:space="0" w:color="auto"/>
              <w:left w:val="double" w:sz="4" w:space="0" w:color="auto"/>
              <w:bottom w:val="single" w:sz="4" w:space="0" w:color="auto"/>
              <w:right w:val="double" w:sz="4" w:space="0" w:color="auto"/>
            </w:tcBorders>
            <w:shd w:val="clear" w:color="auto" w:fill="auto"/>
          </w:tcPr>
          <w:p w14:paraId="64048FC7" w14:textId="77777777" w:rsidR="00074A31" w:rsidRPr="00074A31" w:rsidRDefault="00074A31" w:rsidP="00074A31">
            <w:pPr>
              <w:spacing w:line="480" w:lineRule="auto"/>
              <w:ind w:firstLine="187"/>
              <w:jc w:val="center"/>
              <w:rPr>
                <w:rFonts w:ascii="Times New Roman" w:eastAsia="Times New Roman" w:hAnsi="Times New Roman" w:cs="Times New Roman"/>
                <w:kern w:val="2"/>
                <w:u w:val="single"/>
              </w:rPr>
            </w:pPr>
            <w:r w:rsidRPr="00074A31">
              <w:rPr>
                <w:rFonts w:ascii="Times New Roman" w:eastAsia="Times New Roman" w:hAnsi="Times New Roman" w:cs="Times New Roman"/>
                <w:kern w:val="2"/>
                <w:u w:val="single"/>
              </w:rPr>
              <w:t xml:space="preserve">Chevron </w:t>
            </w:r>
            <w:proofErr w:type="spellStart"/>
            <w:r w:rsidRPr="00074A31">
              <w:rPr>
                <w:rFonts w:ascii="Times New Roman" w:eastAsia="Times New Roman" w:hAnsi="Times New Roman" w:cs="Times New Roman"/>
                <w:kern w:val="2"/>
                <w:u w:val="single"/>
              </w:rPr>
              <w:t>Oronite</w:t>
            </w:r>
            <w:proofErr w:type="spellEnd"/>
            <w:r w:rsidRPr="00074A31">
              <w:rPr>
                <w:rFonts w:ascii="Times New Roman" w:eastAsia="Times New Roman" w:hAnsi="Times New Roman" w:cs="Times New Roman"/>
                <w:kern w:val="2"/>
                <w:u w:val="single"/>
              </w:rPr>
              <w:t xml:space="preserve"> Company LLC – Oak Point Plant, Belle Chasse, LA</w:t>
            </w:r>
          </w:p>
        </w:tc>
      </w:tr>
      <w:tr w:rsidR="00074A31" w:rsidRPr="00074A31" w14:paraId="1180AB24" w14:textId="77777777" w:rsidTr="00A54079">
        <w:trPr>
          <w:jc w:val="center"/>
        </w:trPr>
        <w:tc>
          <w:tcPr>
            <w:tcW w:w="7098" w:type="dxa"/>
            <w:tcBorders>
              <w:top w:val="single" w:sz="4" w:space="0" w:color="auto"/>
              <w:left w:val="double" w:sz="4" w:space="0" w:color="auto"/>
              <w:bottom w:val="double" w:sz="4" w:space="0" w:color="auto"/>
              <w:right w:val="double" w:sz="4" w:space="0" w:color="auto"/>
            </w:tcBorders>
          </w:tcPr>
          <w:p w14:paraId="677513AC" w14:textId="77777777" w:rsidR="00074A31" w:rsidRPr="00074A31" w:rsidRDefault="00074A31" w:rsidP="00074A31">
            <w:pPr>
              <w:spacing w:line="480" w:lineRule="auto"/>
              <w:rPr>
                <w:rFonts w:ascii="Times New Roman" w:eastAsia="Times New Roman" w:hAnsi="Times New Roman" w:cs="Times New Roman"/>
                <w:u w:val="single"/>
              </w:rPr>
            </w:pPr>
            <w:r w:rsidRPr="00074A31">
              <w:rPr>
                <w:rFonts w:ascii="Times New Roman" w:eastAsia="Times New Roman" w:hAnsi="Times New Roman" w:cs="Times New Roman"/>
                <w:u w:val="single"/>
              </w:rPr>
              <w:lastRenderedPageBreak/>
              <w:t xml:space="preserve">Hazardous waste scrubber mud </w:t>
            </w:r>
            <w:proofErr w:type="gramStart"/>
            <w:r w:rsidRPr="00074A31">
              <w:rPr>
                <w:rFonts w:ascii="Times New Roman" w:eastAsia="Times New Roman" w:hAnsi="Times New Roman" w:cs="Times New Roman"/>
                <w:u w:val="single"/>
              </w:rPr>
              <w:t>was generated</w:t>
            </w:r>
            <w:proofErr w:type="gramEnd"/>
            <w:r w:rsidRPr="00074A31">
              <w:rPr>
                <w:rFonts w:ascii="Times New Roman" w:eastAsia="Times New Roman" w:hAnsi="Times New Roman" w:cs="Times New Roman"/>
                <w:u w:val="single"/>
              </w:rPr>
              <w:t xml:space="preserve"> by scrubbing flue gas resulting from the incineration of a listed liquid hazardous waste previously generated at the Chevron </w:t>
            </w:r>
            <w:proofErr w:type="spellStart"/>
            <w:r w:rsidRPr="00074A31">
              <w:rPr>
                <w:rFonts w:ascii="Times New Roman" w:eastAsia="Times New Roman" w:hAnsi="Times New Roman" w:cs="Times New Roman"/>
                <w:u w:val="single"/>
              </w:rPr>
              <w:t>Oronite</w:t>
            </w:r>
            <w:proofErr w:type="spellEnd"/>
            <w:r w:rsidRPr="00074A31">
              <w:rPr>
                <w:rFonts w:ascii="Times New Roman" w:eastAsia="Times New Roman" w:hAnsi="Times New Roman" w:cs="Times New Roman"/>
                <w:u w:val="single"/>
              </w:rPr>
              <w:t xml:space="preserve"> Company LLC – Oak Point Plant (Chevron) in Belle Chasse, Louisiana. Chevron stabilized the scrubber mud with nonhazardous incinerator ash, nonhazardous </w:t>
            </w:r>
            <w:proofErr w:type="spellStart"/>
            <w:r w:rsidRPr="00074A31">
              <w:rPr>
                <w:rFonts w:ascii="Times New Roman" w:eastAsia="Times New Roman" w:hAnsi="Times New Roman" w:cs="Times New Roman"/>
                <w:u w:val="single"/>
              </w:rPr>
              <w:t>sludges</w:t>
            </w:r>
            <w:proofErr w:type="spellEnd"/>
            <w:r w:rsidRPr="00074A31">
              <w:rPr>
                <w:rFonts w:ascii="Times New Roman" w:eastAsia="Times New Roman" w:hAnsi="Times New Roman" w:cs="Times New Roman"/>
                <w:u w:val="single"/>
              </w:rPr>
              <w:t xml:space="preserve">, and contaminated soil (collectively referred to as "ash"), all of which were generated at Chevron prior to disposal in Landfills A, B, and C. For the purpose of this one-time exclusion, the ash disposed of in Landfills A, B, and C includes hazardous waste code F005 and hazard codes </w:t>
            </w:r>
            <w:proofErr w:type="gramStart"/>
            <w:r w:rsidRPr="00074A31">
              <w:rPr>
                <w:rFonts w:ascii="Times New Roman" w:eastAsia="Times New Roman" w:hAnsi="Times New Roman" w:cs="Times New Roman"/>
                <w:u w:val="single"/>
              </w:rPr>
              <w:t>"I" and "T" as listed in LAC 33</w:t>
            </w:r>
            <w:proofErr w:type="gramEnd"/>
            <w:r w:rsidRPr="00074A31">
              <w:rPr>
                <w:rFonts w:ascii="Times New Roman" w:eastAsia="Times New Roman" w:hAnsi="Times New Roman" w:cs="Times New Roman"/>
                <w:u w:val="single"/>
              </w:rPr>
              <w:t>:V.4901. This one-time exclusion allows for the management of approximately 200,500 cubic yards of ash for the purpose of excavation, transportation, and off-site disposal as nonhazardous industrial solid waste or management in-place pursuant to alternative methods approved by the administrative authority.</w:t>
            </w:r>
          </w:p>
        </w:tc>
      </w:tr>
    </w:tbl>
    <w:p w14:paraId="10324F02" w14:textId="77777777" w:rsidR="00074A31" w:rsidRPr="00074A31" w:rsidRDefault="00074A31" w:rsidP="00074A31">
      <w:pPr>
        <w:jc w:val="both"/>
        <w:rPr>
          <w:rFonts w:ascii="Times New Roman" w:eastAsia="Times New Roman" w:hAnsi="Times New Roman" w:cs="Times New Roman"/>
        </w:rPr>
      </w:pPr>
    </w:p>
    <w:p w14:paraId="750DCBC7" w14:textId="77777777" w:rsidR="00074A31" w:rsidRPr="00074A31" w:rsidRDefault="00074A31" w:rsidP="00074A31">
      <w:pPr>
        <w:jc w:val="center"/>
        <w:rPr>
          <w:rFonts w:ascii="Times New Roman" w:eastAsia="Times New Roman" w:hAnsi="Times New Roman" w:cs="Times New Roman"/>
        </w:rPr>
      </w:pPr>
    </w:p>
    <w:p w14:paraId="2D4F7925" w14:textId="77777777" w:rsidR="00074A31" w:rsidRPr="00074A31" w:rsidRDefault="00074A31" w:rsidP="00074A31">
      <w:pPr>
        <w:tabs>
          <w:tab w:val="left" w:pos="288"/>
        </w:tabs>
        <w:rPr>
          <w:rFonts w:ascii="Times New Roman" w:eastAsia="Times New Roman" w:hAnsi="Times New Roman" w:cs="Times New Roman"/>
          <w:kern w:val="2"/>
        </w:rPr>
      </w:pPr>
      <w:r w:rsidRPr="00074A31">
        <w:rPr>
          <w:rFonts w:ascii="Times New Roman" w:eastAsia="Times New Roman" w:hAnsi="Times New Roman" w:cs="Times New Roman"/>
          <w:kern w:val="2"/>
        </w:rPr>
        <w:tab/>
        <w:t>AUTHORITY NOTE:</w:t>
      </w:r>
      <w:r w:rsidRPr="00074A31">
        <w:rPr>
          <w:rFonts w:ascii="Times New Roman" w:eastAsia="Times New Roman" w:hAnsi="Times New Roman" w:cs="Times New Roman"/>
          <w:kern w:val="2"/>
        </w:rPr>
        <w:tab/>
        <w:t>Promulgated in accordance with R.S. 30:2180 et seq.</w:t>
      </w:r>
    </w:p>
    <w:p w14:paraId="5CE750FD" w14:textId="77777777" w:rsidR="00074A31" w:rsidRPr="00074A31" w:rsidRDefault="00074A31" w:rsidP="00074A31">
      <w:pPr>
        <w:widowControl w:val="0"/>
        <w:tabs>
          <w:tab w:val="left" w:pos="288"/>
        </w:tabs>
        <w:jc w:val="both"/>
        <w:rPr>
          <w:rFonts w:ascii="Times New Roman" w:eastAsia="Times New Roman" w:hAnsi="Times New Roman" w:cs="Times New Roman"/>
          <w:kern w:val="2"/>
        </w:rPr>
      </w:pPr>
      <w:r w:rsidRPr="00074A31">
        <w:rPr>
          <w:rFonts w:ascii="Times New Roman" w:eastAsia="Times New Roman" w:hAnsi="Times New Roman" w:cs="Times New Roman"/>
          <w:kern w:val="2"/>
        </w:rPr>
        <w:tab/>
      </w:r>
      <w:proofErr w:type="gramStart"/>
      <w:r w:rsidRPr="00074A31">
        <w:rPr>
          <w:rFonts w:ascii="Times New Roman" w:eastAsia="Times New Roman" w:hAnsi="Times New Roman" w:cs="Times New Roman"/>
          <w:kern w:val="2"/>
        </w:rPr>
        <w:t>HISTORICAL NOTE:</w:t>
      </w:r>
      <w:r w:rsidRPr="00074A31">
        <w:rPr>
          <w:rFonts w:ascii="Times New Roman" w:eastAsia="Times New Roman" w:hAnsi="Times New Roman" w:cs="Times New Roman"/>
          <w:kern w:val="2"/>
        </w:rPr>
        <w:tab/>
        <w:t>Promulgated by the Department of Environmental Quality, LR 20:1000 (September 1994), amended by the Office of Solid and Hazardous Waste, Hazardous Waste Division, LR 21:944 (September 1995), LR 22:830 (September 1996), amended by the Office of Waste Services, Hazardous Waste Division, LR 23:952 (August 1997), amended by the Office of Environmental Assessment, Environmental Planning Division, LR 25:2397 (December 1999), LR 26:2509 (November 2000), LR 29:1084 (July 2003), promulgated LR 29:1475 (August 2003), amended by the Office of Environmental Assessment, LR 30:2464 (November 2004), amended by the Office of the Secretary, Legal Affairs Division, LR 33:445 (March 2007), LR 33:825 (May 2007), LR 33:1016 (June 2007), LR 34:73 (January 2008), LR 34:1021 (June 2008), LR 34:1613 (August 2008), amended by the Office of the Secretary, Legal Division, LR 38:2757 (November 2012), LR 40:1692 (September 2014), LR 42:2179 (December 2016), LR 43:1149 (June 2017), amended by the Office of the Secretary, Legal Affairs and Criminal Investigations Division, LR 43:2139 (November 2017), amended by the Office of the Secretary, Legal Affairs Division, LR 49:59 (January 2023), LR 52:</w:t>
      </w:r>
      <w:proofErr w:type="gramEnd"/>
    </w:p>
    <w:p w14:paraId="55D7E723" w14:textId="77777777" w:rsidR="00074A31" w:rsidRDefault="00074A31" w:rsidP="004F6187">
      <w:pPr>
        <w:pStyle w:val="WPNormal"/>
        <w:tabs>
          <w:tab w:val="left" w:pos="-720"/>
          <w:tab w:val="left" w:pos="0"/>
          <w:tab w:val="left" w:pos="720"/>
          <w:tab w:val="left" w:pos="1440"/>
          <w:tab w:val="left" w:pos="2160"/>
          <w:tab w:val="left" w:pos="2880"/>
        </w:tabs>
        <w:jc w:val="center"/>
        <w:rPr>
          <w:rFonts w:ascii="Palatino" w:hAnsi="Palatino"/>
          <w:b/>
          <w:sz w:val="20"/>
        </w:rPr>
      </w:pPr>
    </w:p>
    <w:p w14:paraId="4E1373B3" w14:textId="60A8FB94"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7CF267F5" w:rsidR="008B6D06" w:rsidRPr="00900734" w:rsidRDefault="00FB5841" w:rsidP="00070424">
            <w:pPr>
              <w:rPr>
                <w:rFonts w:ascii="Palatino" w:hAnsi="Palatino"/>
                <w:sz w:val="20"/>
                <w:szCs w:val="20"/>
              </w:rPr>
            </w:pPr>
            <w:r>
              <w:rPr>
                <w:rFonts w:ascii="Palatino" w:hAnsi="Palatino"/>
                <w:sz w:val="20"/>
                <w:szCs w:val="20"/>
              </w:rPr>
              <w:t>Victoria Mercer-Albritton</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68C73318" w:rsidR="008B6D06" w:rsidRPr="00900734" w:rsidRDefault="00374F14"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4DAFB86B" w:rsidR="008B6D06" w:rsidRPr="00900734" w:rsidRDefault="00274AF6" w:rsidP="00274AF6">
            <w:pPr>
              <w:rPr>
                <w:rFonts w:ascii="Palatino" w:hAnsi="Palatino"/>
                <w:sz w:val="20"/>
                <w:szCs w:val="20"/>
              </w:rPr>
            </w:pPr>
            <w:r>
              <w:rPr>
                <w:rFonts w:ascii="Palatino" w:hAnsi="Palatino"/>
                <w:sz w:val="20"/>
                <w:szCs w:val="20"/>
              </w:rPr>
              <w:t>(</w:t>
            </w:r>
            <w:r w:rsidR="003A2194">
              <w:rPr>
                <w:rFonts w:ascii="Palatino" w:hAnsi="Palatino"/>
                <w:sz w:val="20"/>
                <w:szCs w:val="20"/>
              </w:rPr>
              <w:t>225</w:t>
            </w:r>
            <w:r>
              <w:rPr>
                <w:rFonts w:ascii="Palatino" w:hAnsi="Palatino"/>
                <w:sz w:val="20"/>
                <w:szCs w:val="20"/>
              </w:rPr>
              <w:t xml:space="preserve">) </w:t>
            </w:r>
            <w:r w:rsidR="003A2194">
              <w:rPr>
                <w:rFonts w:ascii="Palatino" w:hAnsi="Palatino"/>
                <w:sz w:val="20"/>
                <w:szCs w:val="20"/>
              </w:rPr>
              <w:t>219-1354</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6F2C1D00" w:rsidR="008B6D06" w:rsidRPr="00900734" w:rsidRDefault="00374F14" w:rsidP="00070424">
            <w:pPr>
              <w:rPr>
                <w:rFonts w:ascii="Palatino" w:hAnsi="Palatino"/>
                <w:sz w:val="20"/>
                <w:szCs w:val="20"/>
              </w:rPr>
            </w:pPr>
            <w:r>
              <w:rPr>
                <w:rFonts w:ascii="Palatino" w:hAnsi="Palatino"/>
                <w:sz w:val="20"/>
                <w:szCs w:val="20"/>
              </w:rPr>
              <w:t>Environmental Services</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2E5F711F" w:rsidR="008B6D06" w:rsidRPr="00900734" w:rsidRDefault="00374F14" w:rsidP="00070424">
            <w:pPr>
              <w:rPr>
                <w:rFonts w:ascii="Palatino" w:hAnsi="Palatino"/>
                <w:sz w:val="20"/>
                <w:szCs w:val="20"/>
              </w:rPr>
            </w:pPr>
            <w:r>
              <w:rPr>
                <w:rFonts w:ascii="Palatino" w:hAnsi="Palatino"/>
                <w:sz w:val="20"/>
                <w:szCs w:val="20"/>
              </w:rPr>
              <w:t>602 North Fifth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36903672" w:rsidR="008B6D06" w:rsidRPr="00AD5943" w:rsidRDefault="00AD5943" w:rsidP="007203E0">
            <w:pPr>
              <w:rPr>
                <w:rFonts w:ascii="Palatino" w:hAnsi="Palatino"/>
                <w:sz w:val="20"/>
                <w:szCs w:val="20"/>
                <w:u w:val="single"/>
              </w:rPr>
            </w:pPr>
            <w:r w:rsidRPr="00AD5943">
              <w:rPr>
                <w:rFonts w:ascii="Palatino" w:hAnsi="Palatino"/>
                <w:sz w:val="20"/>
                <w:szCs w:val="20"/>
                <w:u w:val="single"/>
              </w:rPr>
              <w:t>Delisting Exclusion of Landfills A, B, and C</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62D37B7F" w:rsidR="008B6D06" w:rsidRPr="00900734" w:rsidRDefault="00374F14" w:rsidP="00070424">
            <w:pPr>
              <w:rPr>
                <w:rFonts w:ascii="Palatino" w:hAnsi="Palatino"/>
                <w:sz w:val="20"/>
                <w:szCs w:val="20"/>
              </w:rPr>
            </w:pPr>
            <w:r>
              <w:rPr>
                <w:rFonts w:ascii="Palatino" w:hAnsi="Palatino"/>
                <w:sz w:val="20"/>
                <w:szCs w:val="20"/>
              </w:rPr>
              <w:t>Baton Rouge, LA 70802</w:t>
            </w: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7A77B0F6" w14:textId="799F5F16" w:rsidR="007203E0" w:rsidRPr="003A2194" w:rsidRDefault="007203E0" w:rsidP="008E1B30">
            <w:pPr>
              <w:rPr>
                <w:rFonts w:ascii="Palatino" w:hAnsi="Palatino"/>
                <w:sz w:val="20"/>
                <w:szCs w:val="20"/>
                <w:u w:val="single"/>
              </w:rPr>
            </w:pPr>
            <w:r w:rsidRPr="003A2194">
              <w:rPr>
                <w:rFonts w:ascii="Palatino" w:hAnsi="Palatino"/>
                <w:sz w:val="20"/>
                <w:szCs w:val="20"/>
                <w:u w:val="single"/>
              </w:rPr>
              <w:t>Chevron Oronite Co LLC - Oak Point Plant, Belle Chasse, LA</w:t>
            </w:r>
          </w:p>
          <w:p w14:paraId="4FDD762D" w14:textId="3C6143ED" w:rsidR="008B6D06" w:rsidRPr="008E1B30" w:rsidRDefault="000A56B9" w:rsidP="008E1B30">
            <w:pPr>
              <w:rPr>
                <w:rFonts w:ascii="Palatino" w:hAnsi="Palatino"/>
                <w:sz w:val="20"/>
                <w:szCs w:val="20"/>
              </w:rPr>
            </w:pPr>
            <w:r w:rsidRPr="008E1B30">
              <w:rPr>
                <w:rFonts w:ascii="Palatino" w:hAnsi="Palatino"/>
                <w:sz w:val="20"/>
                <w:szCs w:val="20"/>
              </w:rPr>
              <w:t>(LAC 33:V.4999. Appendix  E)</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145B71D3" w:rsidR="008B6D06" w:rsidRPr="00900734" w:rsidRDefault="00374F14"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2CCE8889" w14:textId="77777777" w:rsidR="00374F14" w:rsidRDefault="00374F14" w:rsidP="00374F14">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2C7CC6B6" w14:textId="4CA68F26" w:rsidR="006C1C27" w:rsidRDefault="00374F14" w:rsidP="008E1B30">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sidRPr="00E860EF">
        <w:rPr>
          <w:rFonts w:ascii="Palatino" w:hAnsi="Palatino"/>
          <w:sz w:val="20"/>
        </w:rPr>
        <w:t>There are no anticipated implementation costs as a result of the proposed rule change.</w:t>
      </w:r>
    </w:p>
    <w:p w14:paraId="1BE59D61" w14:textId="77777777" w:rsidR="0038483E" w:rsidRDefault="0038483E" w:rsidP="008E1B30">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11034E2D" w14:textId="1764B3C9" w:rsidR="0038483E" w:rsidRDefault="0038483E" w:rsidP="008E1B30">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sidRPr="00AD5943">
        <w:rPr>
          <w:rFonts w:ascii="Palatino" w:hAnsi="Palatino"/>
          <w:sz w:val="20"/>
        </w:rPr>
        <w:t>Th</w:t>
      </w:r>
      <w:r>
        <w:rPr>
          <w:rFonts w:ascii="Palatino" w:hAnsi="Palatino"/>
          <w:sz w:val="20"/>
        </w:rPr>
        <w:t>e</w:t>
      </w:r>
      <w:r w:rsidRPr="00AD5943">
        <w:rPr>
          <w:rFonts w:ascii="Palatino" w:hAnsi="Palatino"/>
          <w:sz w:val="20"/>
        </w:rPr>
        <w:t xml:space="preserve"> proposed rule</w:t>
      </w:r>
      <w:r>
        <w:rPr>
          <w:rFonts w:ascii="Palatino" w:hAnsi="Palatino"/>
          <w:sz w:val="20"/>
        </w:rPr>
        <w:t xml:space="preserve"> change</w:t>
      </w:r>
      <w:r w:rsidRPr="00AD5943">
        <w:rPr>
          <w:rFonts w:ascii="Palatino" w:hAnsi="Palatino"/>
          <w:sz w:val="20"/>
        </w:rPr>
        <w:t xml:space="preserve"> seeks to exclude (delist) incinerator ash and scrubber mud generated by Chevron </w:t>
      </w:r>
      <w:proofErr w:type="spellStart"/>
      <w:r w:rsidRPr="00AD5943">
        <w:rPr>
          <w:rFonts w:ascii="Palatino" w:hAnsi="Palatino"/>
          <w:sz w:val="20"/>
        </w:rPr>
        <w:t>Oronite</w:t>
      </w:r>
      <w:proofErr w:type="spellEnd"/>
      <w:r w:rsidRPr="00AD5943">
        <w:rPr>
          <w:rFonts w:ascii="Palatino" w:hAnsi="Palatino"/>
          <w:sz w:val="20"/>
        </w:rPr>
        <w:t xml:space="preserve"> Co. LLC and disposed of in Landfills A, B, and C at its Oak Point Plant in Belle Chasse, Louisiana, from the hazardous waste regulations</w:t>
      </w:r>
      <w:r w:rsidRPr="00813611">
        <w:rPr>
          <w:rFonts w:ascii="Palatino" w:hAnsi="Palatino"/>
          <w:sz w:val="20"/>
        </w:rPr>
        <w:t>.</w:t>
      </w:r>
    </w:p>
    <w:p w14:paraId="0F4C17B8" w14:textId="77777777" w:rsidR="00374F14" w:rsidRPr="00D42DCA" w:rsidRDefault="00374F14" w:rsidP="00AA03DA">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28DCCAAE" w14:textId="0C83AF4E" w:rsidR="00493842" w:rsidRDefault="008C4A02" w:rsidP="00D035A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316ACA">
        <w:rPr>
          <w:rFonts w:ascii="Palatino" w:hAnsi="Palatino"/>
          <w:sz w:val="20"/>
        </w:rPr>
        <w:t>T</w:t>
      </w:r>
      <w:r w:rsidR="00374F14">
        <w:rPr>
          <w:rFonts w:ascii="Palatino" w:hAnsi="Palatino"/>
          <w:sz w:val="20"/>
        </w:rPr>
        <w:t>here is no anticipated effect on revenue collections of state or local governmental units</w:t>
      </w:r>
      <w:r w:rsidR="00316ACA">
        <w:rPr>
          <w:rFonts w:ascii="Palatino" w:hAnsi="Palatino"/>
          <w:sz w:val="20"/>
        </w:rPr>
        <w:t xml:space="preserve"> </w:t>
      </w:r>
      <w:proofErr w:type="gramStart"/>
      <w:r w:rsidR="00316ACA">
        <w:rPr>
          <w:rFonts w:ascii="Palatino" w:hAnsi="Palatino"/>
          <w:sz w:val="20"/>
        </w:rPr>
        <w:t>as a result</w:t>
      </w:r>
      <w:proofErr w:type="gramEnd"/>
      <w:r w:rsidR="00316ACA">
        <w:rPr>
          <w:rFonts w:ascii="Palatino" w:hAnsi="Palatino"/>
          <w:sz w:val="20"/>
        </w:rPr>
        <w:t xml:space="preserve"> of the proposed rule change</w:t>
      </w:r>
      <w:r w:rsidR="00374F14">
        <w:rPr>
          <w:rFonts w:ascii="Palatino" w:hAnsi="Palatino"/>
          <w:sz w:val="20"/>
        </w:rPr>
        <w:t>.</w:t>
      </w:r>
    </w:p>
    <w:p w14:paraId="0D186AD0" w14:textId="2A3DC929" w:rsidR="004F6187" w:rsidRDefault="004F6187"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133C08DB" w14:textId="307F0225" w:rsidR="00493842" w:rsidRDefault="008C4A02" w:rsidP="008E1B30">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r>
        <w:rPr>
          <w:rFonts w:ascii="Palatino" w:hAnsi="Palatino"/>
          <w:sz w:val="20"/>
        </w:rPr>
        <w:br/>
      </w:r>
      <w:r w:rsidR="00FB5841" w:rsidRPr="008E1B30">
        <w:rPr>
          <w:rFonts w:ascii="Palatino" w:hAnsi="Palatino"/>
          <w:sz w:val="20"/>
        </w:rPr>
        <w:t xml:space="preserve">Assuming the delisting petition is granted, </w:t>
      </w:r>
      <w:r w:rsidR="007203E0" w:rsidRPr="008E1B30">
        <w:rPr>
          <w:rFonts w:ascii="Palatino" w:hAnsi="Palatino"/>
          <w:sz w:val="20"/>
        </w:rPr>
        <w:t xml:space="preserve">Chevron </w:t>
      </w:r>
      <w:proofErr w:type="spellStart"/>
      <w:r w:rsidR="007203E0" w:rsidRPr="008E1B30">
        <w:rPr>
          <w:rFonts w:ascii="Palatino" w:hAnsi="Palatino"/>
          <w:sz w:val="20"/>
        </w:rPr>
        <w:t>Oronite</w:t>
      </w:r>
      <w:proofErr w:type="spellEnd"/>
      <w:r w:rsidR="007203E0" w:rsidRPr="008E1B30">
        <w:rPr>
          <w:rFonts w:ascii="Palatino" w:hAnsi="Palatino"/>
          <w:sz w:val="20"/>
        </w:rPr>
        <w:t xml:space="preserve"> Co</w:t>
      </w:r>
      <w:r w:rsidR="0032510E">
        <w:rPr>
          <w:rFonts w:ascii="Palatino" w:hAnsi="Palatino"/>
          <w:sz w:val="20"/>
        </w:rPr>
        <w:t>.</w:t>
      </w:r>
      <w:r w:rsidR="007203E0" w:rsidRPr="008E1B30">
        <w:rPr>
          <w:rFonts w:ascii="Palatino" w:hAnsi="Palatino"/>
          <w:sz w:val="20"/>
        </w:rPr>
        <w:t xml:space="preserve"> LLC - Oak Point Plant</w:t>
      </w:r>
      <w:r w:rsidR="00FB5841" w:rsidRPr="008E1B30">
        <w:rPr>
          <w:rFonts w:ascii="Palatino" w:hAnsi="Palatino"/>
          <w:sz w:val="20"/>
        </w:rPr>
        <w:t xml:space="preserve"> will remove the material and send it to a permitted </w:t>
      </w:r>
      <w:r w:rsidR="00274AF6">
        <w:rPr>
          <w:rFonts w:ascii="Palatino" w:hAnsi="Palatino"/>
          <w:sz w:val="20"/>
        </w:rPr>
        <w:t>non</w:t>
      </w:r>
      <w:r w:rsidR="009643F2" w:rsidRPr="009643F2">
        <w:rPr>
          <w:rFonts w:ascii="Palatino" w:hAnsi="Palatino"/>
          <w:sz w:val="20"/>
        </w:rPr>
        <w:t xml:space="preserve">hazardous </w:t>
      </w:r>
      <w:r w:rsidR="009643F2">
        <w:rPr>
          <w:rFonts w:ascii="Palatino" w:hAnsi="Palatino"/>
          <w:sz w:val="20"/>
        </w:rPr>
        <w:t xml:space="preserve">industrial </w:t>
      </w:r>
      <w:r w:rsidR="00FB5841" w:rsidRPr="008E1B30">
        <w:rPr>
          <w:rFonts w:ascii="Palatino" w:hAnsi="Palatino"/>
          <w:sz w:val="20"/>
        </w:rPr>
        <w:t xml:space="preserve">solid waste landfill for disposal. This option </w:t>
      </w:r>
      <w:r w:rsidR="00194E78">
        <w:rPr>
          <w:rFonts w:ascii="Palatino" w:hAnsi="Palatino"/>
          <w:sz w:val="20"/>
        </w:rPr>
        <w:t>may</w:t>
      </w:r>
      <w:r w:rsidR="00194E78" w:rsidRPr="008E1B30">
        <w:rPr>
          <w:rFonts w:ascii="Palatino" w:hAnsi="Palatino"/>
          <w:sz w:val="20"/>
        </w:rPr>
        <w:t xml:space="preserve"> </w:t>
      </w:r>
      <w:r w:rsidR="00FB5841" w:rsidRPr="008E1B30">
        <w:rPr>
          <w:rFonts w:ascii="Palatino" w:hAnsi="Palatino"/>
          <w:sz w:val="20"/>
        </w:rPr>
        <w:t xml:space="preserve">produce an economic benefit to Louisiana contractors. </w:t>
      </w:r>
      <w:r w:rsidR="00111C2F">
        <w:rPr>
          <w:rFonts w:ascii="Palatino" w:hAnsi="Palatino"/>
          <w:sz w:val="20"/>
        </w:rPr>
        <w:t xml:space="preserve">Chevron </w:t>
      </w:r>
      <w:proofErr w:type="spellStart"/>
      <w:r w:rsidR="00111C2F">
        <w:rPr>
          <w:rFonts w:ascii="Palatino" w:hAnsi="Palatino"/>
          <w:sz w:val="20"/>
        </w:rPr>
        <w:t>Oronite</w:t>
      </w:r>
      <w:proofErr w:type="spellEnd"/>
      <w:r w:rsidR="00111C2F">
        <w:rPr>
          <w:rFonts w:ascii="Palatino" w:hAnsi="Palatino"/>
          <w:sz w:val="20"/>
        </w:rPr>
        <w:t xml:space="preserve"> Co</w:t>
      </w:r>
      <w:r w:rsidR="0032510E">
        <w:rPr>
          <w:rFonts w:ascii="Palatino" w:hAnsi="Palatino"/>
          <w:sz w:val="20"/>
        </w:rPr>
        <w:t>.</w:t>
      </w:r>
      <w:r w:rsidR="00111C2F">
        <w:rPr>
          <w:rFonts w:ascii="Palatino" w:hAnsi="Palatino"/>
          <w:sz w:val="20"/>
        </w:rPr>
        <w:t xml:space="preserve"> LLC - Oak Point Plant also has the option for </w:t>
      </w:r>
      <w:r w:rsidR="00111C2F" w:rsidRPr="00111C2F">
        <w:rPr>
          <w:rFonts w:ascii="Palatino" w:hAnsi="Palatino"/>
          <w:sz w:val="20"/>
        </w:rPr>
        <w:t xml:space="preserve">in-place management using alternate methods approved by </w:t>
      </w:r>
      <w:r w:rsidR="00316ACA">
        <w:rPr>
          <w:rFonts w:ascii="Palatino" w:hAnsi="Palatino"/>
          <w:sz w:val="20"/>
        </w:rPr>
        <w:t>the Louisiana Department of Environmental Quality (</w:t>
      </w:r>
      <w:r w:rsidR="00111C2F" w:rsidRPr="00111C2F">
        <w:rPr>
          <w:rFonts w:ascii="Palatino" w:hAnsi="Palatino"/>
          <w:sz w:val="20"/>
        </w:rPr>
        <w:t>LDEQ</w:t>
      </w:r>
      <w:r w:rsidR="00316ACA">
        <w:rPr>
          <w:rFonts w:ascii="Palatino" w:hAnsi="Palatino"/>
          <w:sz w:val="20"/>
        </w:rPr>
        <w:t>).</w:t>
      </w:r>
      <w:r w:rsidR="00111C2F" w:rsidRPr="00111C2F">
        <w:rPr>
          <w:rFonts w:ascii="Palatino" w:hAnsi="Palatino"/>
          <w:sz w:val="20"/>
        </w:rPr>
        <w:t xml:space="preserve"> </w:t>
      </w:r>
      <w:r w:rsidR="00FB5841" w:rsidRPr="008E1B30">
        <w:rPr>
          <w:rFonts w:ascii="Palatino" w:hAnsi="Palatino"/>
          <w:sz w:val="20"/>
        </w:rPr>
        <w:t xml:space="preserve">The remediation of the </w:t>
      </w:r>
      <w:r w:rsidR="008E1B30" w:rsidRPr="008E1B30">
        <w:rPr>
          <w:rFonts w:ascii="Palatino" w:hAnsi="Palatino"/>
          <w:sz w:val="20"/>
        </w:rPr>
        <w:t xml:space="preserve">200,500 cubic yards </w:t>
      </w:r>
      <w:r w:rsidR="00FB5841" w:rsidRPr="008E1B30">
        <w:rPr>
          <w:rFonts w:ascii="Palatino" w:hAnsi="Palatino"/>
          <w:sz w:val="20"/>
        </w:rPr>
        <w:t xml:space="preserve">will benefit </w:t>
      </w:r>
      <w:r w:rsidR="007203E0" w:rsidRPr="008E1B30">
        <w:rPr>
          <w:rFonts w:ascii="Palatino" w:hAnsi="Palatino"/>
          <w:sz w:val="20"/>
        </w:rPr>
        <w:t xml:space="preserve">Chevron </w:t>
      </w:r>
      <w:proofErr w:type="spellStart"/>
      <w:r w:rsidR="007203E0" w:rsidRPr="008E1B30">
        <w:rPr>
          <w:rFonts w:ascii="Palatino" w:hAnsi="Palatino"/>
          <w:sz w:val="20"/>
        </w:rPr>
        <w:t>Oronite</w:t>
      </w:r>
      <w:proofErr w:type="spellEnd"/>
      <w:r w:rsidR="007203E0" w:rsidRPr="008E1B30">
        <w:rPr>
          <w:rFonts w:ascii="Palatino" w:hAnsi="Palatino"/>
          <w:sz w:val="20"/>
        </w:rPr>
        <w:t xml:space="preserve"> Co</w:t>
      </w:r>
      <w:r w:rsidR="0032510E">
        <w:rPr>
          <w:rFonts w:ascii="Palatino" w:hAnsi="Palatino"/>
          <w:sz w:val="20"/>
        </w:rPr>
        <w:t>.</w:t>
      </w:r>
      <w:r w:rsidR="007203E0" w:rsidRPr="008E1B30">
        <w:rPr>
          <w:rFonts w:ascii="Palatino" w:hAnsi="Palatino"/>
          <w:sz w:val="20"/>
        </w:rPr>
        <w:t xml:space="preserve"> LLC </w:t>
      </w:r>
      <w:r w:rsidR="0032510E">
        <w:rPr>
          <w:rFonts w:ascii="Palatino" w:hAnsi="Palatino"/>
          <w:sz w:val="20"/>
        </w:rPr>
        <w:t>–</w:t>
      </w:r>
      <w:r w:rsidR="007203E0" w:rsidRPr="008E1B30">
        <w:rPr>
          <w:rFonts w:ascii="Palatino" w:hAnsi="Palatino"/>
          <w:sz w:val="20"/>
        </w:rPr>
        <w:t xml:space="preserve"> Oak Point Plant </w:t>
      </w:r>
      <w:r w:rsidR="00FB5841" w:rsidRPr="008E1B30">
        <w:rPr>
          <w:rFonts w:ascii="Palatino" w:hAnsi="Palatino"/>
          <w:sz w:val="20"/>
        </w:rPr>
        <w:t xml:space="preserve">by allowing its industrial property to </w:t>
      </w:r>
      <w:proofErr w:type="gramStart"/>
      <w:r w:rsidR="00FB5841" w:rsidRPr="008E1B30">
        <w:rPr>
          <w:rFonts w:ascii="Palatino" w:hAnsi="Palatino"/>
          <w:sz w:val="20"/>
        </w:rPr>
        <w:t>be fully utilized</w:t>
      </w:r>
      <w:proofErr w:type="gramEnd"/>
      <w:r w:rsidR="00FB5841" w:rsidRPr="008E1B30">
        <w:rPr>
          <w:rFonts w:ascii="Palatino" w:hAnsi="Palatino"/>
          <w:sz w:val="20"/>
        </w:rPr>
        <w:t>.</w:t>
      </w:r>
      <w:r w:rsidR="000D3189">
        <w:rPr>
          <w:rFonts w:ascii="Palatino" w:hAnsi="Palatino"/>
          <w:sz w:val="20"/>
        </w:rPr>
        <w:tab/>
      </w:r>
      <w:r w:rsidR="00374F14">
        <w:rPr>
          <w:rFonts w:ascii="Palatino" w:hAnsi="Palatino"/>
          <w:sz w:val="20"/>
        </w:rPr>
        <w:br/>
      </w:r>
    </w:p>
    <w:p w14:paraId="03FB828A" w14:textId="77777777" w:rsidR="00680EAE" w:rsidRDefault="004F6187" w:rsidP="000A56B9">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COMPETITION AND EMPLOYMENT (Summary)</w:t>
      </w:r>
      <w:r w:rsidR="008C4A02">
        <w:rPr>
          <w:rFonts w:ascii="Palatino" w:hAnsi="Palatino"/>
          <w:sz w:val="20"/>
        </w:rPr>
        <w:tab/>
      </w:r>
    </w:p>
    <w:p w14:paraId="16790EB5" w14:textId="77777777" w:rsidR="000A56B9" w:rsidRDefault="000A56B9" w:rsidP="000A56B9">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44188F39" w14:textId="02D15501" w:rsidR="005B49F9" w:rsidRDefault="000A56B9" w:rsidP="000A56B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ind w:left="360"/>
        <w:jc w:val="both"/>
        <w:rPr>
          <w:rFonts w:ascii="Palatino" w:eastAsia="Times New Roman" w:hAnsi="Palatino" w:cs="Times New Roman"/>
          <w:color w:val="000000"/>
          <w:sz w:val="20"/>
          <w:szCs w:val="20"/>
        </w:rPr>
      </w:pPr>
      <w:r w:rsidRPr="008E1B30">
        <w:rPr>
          <w:rFonts w:ascii="Palatino" w:eastAsia="Times New Roman" w:hAnsi="Palatino" w:cs="Times New Roman"/>
          <w:color w:val="000000"/>
          <w:sz w:val="20"/>
          <w:szCs w:val="20"/>
        </w:rPr>
        <w:t xml:space="preserve">The effects on competition are negligible. The delisting facilitates the remediation of materials that have been determined </w:t>
      </w:r>
      <w:r w:rsidR="00316ACA">
        <w:rPr>
          <w:rFonts w:ascii="Palatino" w:eastAsia="Times New Roman" w:hAnsi="Palatino" w:cs="Times New Roman"/>
          <w:color w:val="000000"/>
          <w:sz w:val="20"/>
          <w:szCs w:val="20"/>
        </w:rPr>
        <w:t>not to exhibit</w:t>
      </w:r>
      <w:r w:rsidRPr="008E1B30">
        <w:rPr>
          <w:rFonts w:ascii="Palatino" w:eastAsia="Times New Roman" w:hAnsi="Palatino" w:cs="Times New Roman"/>
          <w:color w:val="000000"/>
          <w:sz w:val="20"/>
          <w:szCs w:val="20"/>
        </w:rPr>
        <w:t xml:space="preserve"> hazardous waste characteristics. The rem</w:t>
      </w:r>
      <w:r w:rsidR="008E1B30" w:rsidRPr="008E1B30">
        <w:rPr>
          <w:rFonts w:ascii="Palatino" w:eastAsia="Times New Roman" w:hAnsi="Palatino" w:cs="Times New Roman"/>
          <w:color w:val="000000"/>
          <w:sz w:val="20"/>
          <w:szCs w:val="20"/>
        </w:rPr>
        <w:t xml:space="preserve">oval and disposal </w:t>
      </w:r>
      <w:r w:rsidRPr="008E1B30">
        <w:rPr>
          <w:rFonts w:ascii="Palatino" w:eastAsia="Times New Roman" w:hAnsi="Palatino" w:cs="Times New Roman"/>
          <w:color w:val="000000"/>
          <w:sz w:val="20"/>
          <w:szCs w:val="20"/>
        </w:rPr>
        <w:t xml:space="preserve">activities </w:t>
      </w:r>
      <w:r w:rsidR="008E1B30" w:rsidRPr="008E1B30">
        <w:rPr>
          <w:rFonts w:ascii="Palatino" w:eastAsia="Times New Roman" w:hAnsi="Palatino" w:cs="Times New Roman"/>
          <w:color w:val="000000"/>
          <w:sz w:val="20"/>
          <w:szCs w:val="20"/>
        </w:rPr>
        <w:t>related to</w:t>
      </w:r>
      <w:r w:rsidRPr="008E1B30">
        <w:rPr>
          <w:rFonts w:ascii="Palatino" w:eastAsia="Times New Roman" w:hAnsi="Palatino" w:cs="Times New Roman"/>
          <w:color w:val="000000"/>
          <w:sz w:val="20"/>
          <w:szCs w:val="20"/>
        </w:rPr>
        <w:t xml:space="preserve"> the </w:t>
      </w:r>
      <w:r w:rsidR="008E1B30" w:rsidRPr="008E1B30">
        <w:rPr>
          <w:rFonts w:ascii="Palatino" w:eastAsia="Times New Roman" w:hAnsi="Palatino" w:cs="Times New Roman"/>
          <w:color w:val="000000"/>
          <w:sz w:val="20"/>
          <w:szCs w:val="20"/>
        </w:rPr>
        <w:t xml:space="preserve">200,500 cubic yards </w:t>
      </w:r>
      <w:r w:rsidRPr="008E1B30">
        <w:rPr>
          <w:rFonts w:ascii="Palatino" w:eastAsia="Times New Roman" w:hAnsi="Palatino" w:cs="Times New Roman"/>
          <w:color w:val="000000"/>
          <w:sz w:val="20"/>
          <w:szCs w:val="20"/>
        </w:rPr>
        <w:t xml:space="preserve">will involve short-term </w:t>
      </w:r>
      <w:r w:rsidR="00316ACA">
        <w:rPr>
          <w:rFonts w:ascii="Palatino" w:eastAsia="Times New Roman" w:hAnsi="Palatino" w:cs="Times New Roman"/>
          <w:color w:val="000000"/>
          <w:sz w:val="20"/>
          <w:szCs w:val="20"/>
        </w:rPr>
        <w:t xml:space="preserve">employment in </w:t>
      </w:r>
      <w:r w:rsidRPr="008E1B30">
        <w:rPr>
          <w:rFonts w:ascii="Palatino" w:eastAsia="Times New Roman" w:hAnsi="Palatino" w:cs="Times New Roman"/>
          <w:color w:val="000000"/>
          <w:sz w:val="20"/>
          <w:szCs w:val="20"/>
        </w:rPr>
        <w:t>environmental, laboratory, and construction</w:t>
      </w:r>
      <w:r w:rsidR="00316ACA">
        <w:rPr>
          <w:rFonts w:ascii="Palatino" w:eastAsia="Times New Roman" w:hAnsi="Palatino" w:cs="Times New Roman"/>
          <w:color w:val="000000"/>
          <w:sz w:val="20"/>
          <w:szCs w:val="20"/>
        </w:rPr>
        <w:t>-related fields</w:t>
      </w:r>
      <w:r w:rsidRPr="008E1B30">
        <w:rPr>
          <w:rFonts w:ascii="Palatino" w:eastAsia="Times New Roman" w:hAnsi="Palatino" w:cs="Times New Roman"/>
          <w:color w:val="000000"/>
          <w:sz w:val="20"/>
          <w:szCs w:val="20"/>
        </w:rPr>
        <w:t>.</w:t>
      </w:r>
    </w:p>
    <w:p w14:paraId="7747F529" w14:textId="77777777" w:rsidR="008E1B30" w:rsidRPr="000A56B9" w:rsidRDefault="008E1B30" w:rsidP="000A56B9">
      <w:pPr>
        <w:widowControl w:val="0"/>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ind w:left="360"/>
        <w:jc w:val="both"/>
        <w:rPr>
          <w:rFonts w:ascii="Palatino" w:eastAsia="Times New Roman" w:hAnsi="Palatino" w:cs="Times New Roman"/>
          <w:color w:val="000000"/>
          <w:sz w:val="20"/>
          <w:szCs w:val="20"/>
        </w:rPr>
      </w:pP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0F53CD05" w:rsidR="00287A7E" w:rsidRDefault="00274AF6"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029D53CD" w:rsidR="00374F14" w:rsidRDefault="00374F14"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68A49558" w14:textId="77777777" w:rsidR="00374F14" w:rsidRDefault="00374F14">
      <w:pPr>
        <w:rPr>
          <w:rFonts w:ascii="Palatino" w:eastAsia="Times New Roman" w:hAnsi="Palatino" w:cs="Times New Roman"/>
          <w:color w:val="000000"/>
          <w:sz w:val="20"/>
          <w:szCs w:val="20"/>
        </w:rPr>
      </w:pPr>
      <w:r>
        <w:rPr>
          <w:rFonts w:ascii="Palatino" w:hAnsi="Palatino"/>
          <w:sz w:val="20"/>
        </w:rPr>
        <w:br w:type="page"/>
      </w: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414B94F9" w14:textId="77777777" w:rsidR="00374F14" w:rsidRDefault="008C4A02" w:rsidP="00374F14">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p>
    <w:p w14:paraId="15B4FB00" w14:textId="7CB909C7" w:rsidR="008C4A02" w:rsidRPr="007203E0" w:rsidRDefault="00AD5943" w:rsidP="00374F14">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sidRPr="00AD5943">
        <w:rPr>
          <w:rFonts w:ascii="Palatino" w:hAnsi="Palatino"/>
          <w:sz w:val="20"/>
        </w:rPr>
        <w:t>Th</w:t>
      </w:r>
      <w:r w:rsidR="00274AF6">
        <w:rPr>
          <w:rFonts w:ascii="Palatino" w:hAnsi="Palatino"/>
          <w:sz w:val="20"/>
        </w:rPr>
        <w:t>e</w:t>
      </w:r>
      <w:r w:rsidRPr="00AD5943">
        <w:rPr>
          <w:rFonts w:ascii="Palatino" w:hAnsi="Palatino"/>
          <w:sz w:val="20"/>
        </w:rPr>
        <w:t xml:space="preserve"> proposed rule</w:t>
      </w:r>
      <w:r w:rsidR="0038483E">
        <w:rPr>
          <w:rFonts w:ascii="Palatino" w:hAnsi="Palatino"/>
          <w:sz w:val="20"/>
        </w:rPr>
        <w:t xml:space="preserve"> change</w:t>
      </w:r>
      <w:r w:rsidRPr="00AD5943">
        <w:rPr>
          <w:rFonts w:ascii="Palatino" w:hAnsi="Palatino"/>
          <w:sz w:val="20"/>
        </w:rPr>
        <w:t xml:space="preserve"> seeks to exclude (delist) incinerator ash and scrubber mud generated by Chevron Oronite Co. LLC and disposed of in Landfills A, B, and C at its Oak Point Plant in Belle Chasse, Louisiana, from the hazardous waste regulations</w:t>
      </w:r>
      <w:r w:rsidR="00813611" w:rsidRPr="00813611">
        <w:rPr>
          <w:rFonts w:ascii="Palatino" w:hAnsi="Palatino"/>
          <w:sz w:val="20"/>
        </w:rPr>
        <w:t>.</w:t>
      </w:r>
      <w:r w:rsidR="000D3189">
        <w:rPr>
          <w:rFonts w:ascii="Palatino" w:hAnsi="Palatino"/>
          <w:sz w:val="20"/>
        </w:rPr>
        <w:tab/>
      </w:r>
      <w:r w:rsidR="008C4A02" w:rsidRPr="007203E0">
        <w:rPr>
          <w:rFonts w:ascii="Palatino" w:hAnsi="Palatino"/>
          <w:sz w:val="20"/>
        </w:rPr>
        <w:br/>
      </w:r>
    </w:p>
    <w:p w14:paraId="34A97D9A" w14:textId="505C06FB" w:rsidR="00AD5943" w:rsidRPr="00AD5943" w:rsidRDefault="008C4A02" w:rsidP="00AD5943">
      <w:pPr>
        <w:pStyle w:val="WPNormal"/>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7203E0">
        <w:rPr>
          <w:rFonts w:ascii="Palatino" w:hAnsi="Palatino"/>
          <w:sz w:val="20"/>
        </w:rPr>
        <w:t>Summarize the circumstances, which require this action. If the Action is required by federal regulation, attach a copy of the applicable regulation.</w:t>
      </w:r>
      <w:r w:rsidRPr="007203E0">
        <w:rPr>
          <w:rFonts w:ascii="Palatino" w:hAnsi="Palatino"/>
          <w:sz w:val="20"/>
        </w:rPr>
        <w:tab/>
      </w:r>
      <w:r w:rsidRPr="007203E0">
        <w:rPr>
          <w:rFonts w:ascii="Palatino" w:hAnsi="Palatino"/>
          <w:sz w:val="20"/>
        </w:rPr>
        <w:br/>
      </w:r>
      <w:r w:rsidRPr="007203E0">
        <w:rPr>
          <w:rFonts w:ascii="Palatino" w:hAnsi="Palatino"/>
          <w:sz w:val="20"/>
        </w:rPr>
        <w:br/>
      </w:r>
      <w:r w:rsidR="00AD5943" w:rsidRPr="00AD5943">
        <w:rPr>
          <w:rFonts w:ascii="Palatino" w:hAnsi="Palatino"/>
          <w:sz w:val="20"/>
        </w:rPr>
        <w:t>Chevron Oronite Co. LLC has submitted a petition to delist approximately 200,500 cubic yards of incinerator ash and scrubber mud, which are currently classified as</w:t>
      </w:r>
      <w:r w:rsidR="009643F2">
        <w:rPr>
          <w:rFonts w:ascii="Palatino" w:hAnsi="Palatino"/>
          <w:sz w:val="20"/>
        </w:rPr>
        <w:t xml:space="preserve"> listed</w:t>
      </w:r>
      <w:r w:rsidR="00AD5943" w:rsidRPr="00AD5943">
        <w:rPr>
          <w:rFonts w:ascii="Palatino" w:hAnsi="Palatino"/>
          <w:sz w:val="20"/>
        </w:rPr>
        <w:t xml:space="preserve"> hazardous waste</w:t>
      </w:r>
      <w:r w:rsidR="009643F2">
        <w:rPr>
          <w:rFonts w:ascii="Palatino" w:hAnsi="Palatino"/>
          <w:sz w:val="20"/>
        </w:rPr>
        <w:t xml:space="preserve"> (F005)</w:t>
      </w:r>
      <w:r w:rsidR="00AD5943" w:rsidRPr="00AD5943">
        <w:rPr>
          <w:rFonts w:ascii="Palatino" w:hAnsi="Palatino"/>
          <w:sz w:val="20"/>
        </w:rPr>
        <w:t>. The request seeks to re</w:t>
      </w:r>
      <w:r w:rsidR="00274AF6">
        <w:rPr>
          <w:rFonts w:ascii="Palatino" w:hAnsi="Palatino"/>
          <w:sz w:val="20"/>
        </w:rPr>
        <w:t>classify these materials as non</w:t>
      </w:r>
      <w:r w:rsidR="00AD5943" w:rsidRPr="00AD5943">
        <w:rPr>
          <w:rFonts w:ascii="Palatino" w:hAnsi="Palatino"/>
          <w:sz w:val="20"/>
        </w:rPr>
        <w:t xml:space="preserve">hazardous </w:t>
      </w:r>
      <w:r w:rsidR="00111C2F">
        <w:rPr>
          <w:rFonts w:ascii="Palatino" w:hAnsi="Palatino"/>
          <w:sz w:val="20"/>
        </w:rPr>
        <w:t xml:space="preserve">industrial </w:t>
      </w:r>
      <w:r w:rsidR="00AD5943" w:rsidRPr="00AD5943">
        <w:rPr>
          <w:rFonts w:ascii="Palatino" w:hAnsi="Palatino"/>
          <w:sz w:val="20"/>
        </w:rPr>
        <w:t xml:space="preserve">solid waste based on analytical data and risk assessment results, demonstrating that they do not pose a significant risk to human health or the environment. </w:t>
      </w:r>
      <w:r w:rsidR="003C6B97" w:rsidRPr="003C6B97">
        <w:rPr>
          <w:rFonts w:ascii="Palatino" w:hAnsi="Palatino"/>
          <w:sz w:val="20"/>
        </w:rPr>
        <w:t>This reclassification will improve waste management efficiency while ensuring environmental protection. It will allow management by either disposal at a permitted off-si</w:t>
      </w:r>
      <w:r w:rsidR="00274AF6">
        <w:rPr>
          <w:rFonts w:ascii="Palatino" w:hAnsi="Palatino"/>
          <w:sz w:val="20"/>
        </w:rPr>
        <w:t>te facility appropriate for non</w:t>
      </w:r>
      <w:r w:rsidR="003C6B97" w:rsidRPr="003C6B97">
        <w:rPr>
          <w:rFonts w:ascii="Palatino" w:hAnsi="Palatino"/>
          <w:sz w:val="20"/>
        </w:rPr>
        <w:t>hazardous industrial waste or through in-place management using alternate methods approved by LDE</w:t>
      </w:r>
      <w:r w:rsidR="003C6B97">
        <w:rPr>
          <w:rFonts w:ascii="Palatino" w:hAnsi="Palatino"/>
          <w:sz w:val="20"/>
        </w:rPr>
        <w:t>Q</w:t>
      </w:r>
      <w:r w:rsidR="00AD5943" w:rsidRPr="00AD5943">
        <w:rPr>
          <w:rFonts w:ascii="Palatino" w:hAnsi="Palatino"/>
          <w:sz w:val="20"/>
        </w:rPr>
        <w:t>.</w:t>
      </w:r>
    </w:p>
    <w:p w14:paraId="65444819" w14:textId="77777777" w:rsidR="00AD5943" w:rsidRPr="00AD5943" w:rsidRDefault="00AD5943" w:rsidP="00AD5943">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28FEAD54" w14:textId="58133593" w:rsidR="008C4A02" w:rsidRPr="008C4A02" w:rsidRDefault="00AD5943" w:rsidP="00AD5943">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sidRPr="00AD5943">
        <w:rPr>
          <w:rFonts w:ascii="Palatino" w:hAnsi="Palatino"/>
          <w:sz w:val="20"/>
        </w:rPr>
        <w:t xml:space="preserve">The delisting program is regulated under LAC 33:V.105.M and follows a formal rulemaking process. Applicants must submit a petition and meet all regulatory requirements to qualify for exclusion from hazardous waste regulations. This one-time delisting applies exclusively to the specified 200,500 cubic yards of waste materials located in Landfills A, B, and C at the Chevron </w:t>
      </w:r>
      <w:proofErr w:type="spellStart"/>
      <w:r w:rsidRPr="00AD5943">
        <w:rPr>
          <w:rFonts w:ascii="Palatino" w:hAnsi="Palatino"/>
          <w:sz w:val="20"/>
        </w:rPr>
        <w:t>Oronite</w:t>
      </w:r>
      <w:proofErr w:type="spellEnd"/>
      <w:r w:rsidRPr="00AD5943">
        <w:rPr>
          <w:rFonts w:ascii="Palatino" w:hAnsi="Palatino"/>
          <w:sz w:val="20"/>
        </w:rPr>
        <w:t xml:space="preserve"> Co</w:t>
      </w:r>
      <w:r w:rsidR="0032510E">
        <w:rPr>
          <w:rFonts w:ascii="Palatino" w:hAnsi="Palatino"/>
          <w:sz w:val="20"/>
        </w:rPr>
        <w:t>.</w:t>
      </w:r>
      <w:r w:rsidRPr="00AD5943">
        <w:rPr>
          <w:rFonts w:ascii="Palatino" w:hAnsi="Palatino"/>
          <w:sz w:val="20"/>
        </w:rPr>
        <w:t xml:space="preserve"> LLC – Oak Point Plant site in Belle Chasse, Louisiana</w:t>
      </w:r>
      <w:r w:rsidR="00686BBB" w:rsidRPr="00686BBB">
        <w:rPr>
          <w:rFonts w:ascii="Palatino" w:hAnsi="Palatino"/>
          <w:sz w:val="20"/>
        </w:rPr>
        <w:t>.</w:t>
      </w:r>
      <w:r w:rsidR="000D3189">
        <w:rPr>
          <w:rFonts w:ascii="Palatino" w:hAnsi="Palatino"/>
          <w:sz w:val="20"/>
        </w:rPr>
        <w:tab/>
      </w:r>
      <w:r w:rsidR="008C4A02">
        <w:rPr>
          <w:rFonts w:ascii="Palatino" w:hAnsi="Palatino"/>
          <w:sz w:val="20"/>
        </w:rPr>
        <w:br/>
      </w:r>
    </w:p>
    <w:p w14:paraId="4D4C4B14" w14:textId="77777777" w:rsidR="008C4A02" w:rsidRPr="00DC0C63" w:rsidRDefault="008C4A02" w:rsidP="008C4A02">
      <w:pPr>
        <w:pStyle w:val="WPNormal"/>
        <w:keepLines/>
        <w:numPr>
          <w:ilvl w:val="0"/>
          <w:numId w:val="2"/>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3DC5BF4D" w14:textId="23F50CFD" w:rsidR="00DB1958" w:rsidRDefault="00374F14"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r>
        <w:rPr>
          <w:rFonts w:ascii="Palatino" w:hAnsi="Palatino"/>
          <w:sz w:val="20"/>
        </w:rPr>
        <w:t>No, the proposed rule change will not</w:t>
      </w:r>
      <w:r w:rsidRPr="00374F14">
        <w:rPr>
          <w:rFonts w:ascii="Palatino" w:hAnsi="Palatino"/>
          <w:sz w:val="20"/>
        </w:rPr>
        <w:t xml:space="preserve"> </w:t>
      </w:r>
      <w:r w:rsidRPr="00DC0C63">
        <w:rPr>
          <w:rFonts w:ascii="Palatino" w:hAnsi="Palatino"/>
          <w:sz w:val="20"/>
        </w:rPr>
        <w:t>result in any increase in the expenditure of funds</w:t>
      </w:r>
      <w:r>
        <w:rPr>
          <w:rFonts w:ascii="Palatino" w:hAnsi="Palatino"/>
          <w:sz w:val="20"/>
        </w:rPr>
        <w:t>.</w:t>
      </w:r>
    </w:p>
    <w:p w14:paraId="3D6EBFC7"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D60F69" w14:textId="6B0F5DE3"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sectPr w:rsidR="00D26A97" w:rsidSect="00074A31">
          <w:footerReference w:type="default" r:id="rId8"/>
          <w:pgSz w:w="12240" w:h="20160"/>
          <w:pgMar w:top="1440" w:right="1440" w:bottom="1440" w:left="1440" w:header="720" w:footer="720" w:gutter="0"/>
          <w:cols w:space="720"/>
          <w:docGrid w:linePitch="360"/>
        </w:sectPr>
      </w:pPr>
    </w:p>
    <w:p w14:paraId="2A6CAC59" w14:textId="7D19E803" w:rsidR="008C4A02" w:rsidRPr="00DB1958" w:rsidRDefault="008C4A02"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04648115" w14:textId="77777777" w:rsidR="00FB5841" w:rsidRDefault="008C4A02" w:rsidP="00FB5841">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FB5841" w:rsidRPr="00FB5841">
        <w:rPr>
          <w:rFonts w:ascii="Palatino" w:hAnsi="Palatino"/>
          <w:sz w:val="20"/>
          <w:u w:val="single"/>
        </w:rPr>
        <w:tab/>
      </w:r>
      <w:r w:rsidR="00374F14">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5CEEF04B" w14:textId="77777777" w:rsidR="00686BBB" w:rsidRDefault="00686BBB" w:rsidP="002814AF">
      <w:pPr>
        <w:pStyle w:val="WPNormal"/>
        <w:keepLines/>
        <w:ind w:left="3168" w:hanging="1728"/>
        <w:rPr>
          <w:rFonts w:ascii="Palatino" w:hAnsi="Palatino"/>
          <w:sz w:val="20"/>
        </w:rPr>
      </w:pPr>
    </w:p>
    <w:p w14:paraId="42017F52" w14:textId="4652435C" w:rsidR="002814AF" w:rsidRPr="002814AF" w:rsidRDefault="002814AF" w:rsidP="002814AF">
      <w:pPr>
        <w:pStyle w:val="WPNormal"/>
        <w:keepLines/>
        <w:ind w:left="3168" w:hanging="1728"/>
        <w:rPr>
          <w:rFonts w:ascii="Palatino" w:hAnsi="Palatino"/>
          <w:sz w:val="20"/>
        </w:rPr>
      </w:pPr>
      <w:r w:rsidRPr="002814AF">
        <w:rPr>
          <w:rFonts w:ascii="Palatino" w:hAnsi="Palatino"/>
          <w:sz w:val="20"/>
        </w:rPr>
        <w:t>This is not applicable.</w:t>
      </w:r>
    </w:p>
    <w:p w14:paraId="783BF453" w14:textId="5EF7EE2F" w:rsidR="00374F14" w:rsidRDefault="00374F14" w:rsidP="00FB5841">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Pr>
          <w:rFonts w:ascii="Palatino" w:hAnsi="Palatino"/>
          <w:sz w:val="20"/>
        </w:rPr>
        <w:br w:type="page"/>
      </w:r>
    </w:p>
    <w:p w14:paraId="051C7873" w14:textId="634983E9"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lastRenderedPageBreak/>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789600EF"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DAECE7B"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4C829109" w14:textId="77777777" w:rsidR="008C4A02" w:rsidRPr="00DC0C63" w:rsidRDefault="008C4A02"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69875196"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FB5841">
              <w:rPr>
                <w:rFonts w:ascii="Palatino" w:hAnsi="Palatino" w:cs="Arial"/>
                <w:b/>
                <w:bCs/>
                <w:sz w:val="20"/>
                <w:szCs w:val="20"/>
              </w:rPr>
              <w:t>5</w:t>
            </w:r>
          </w:p>
        </w:tc>
        <w:tc>
          <w:tcPr>
            <w:tcW w:w="1089" w:type="pct"/>
            <w:tcBorders>
              <w:top w:val="single" w:sz="4" w:space="0" w:color="auto"/>
              <w:bottom w:val="single" w:sz="4" w:space="0" w:color="auto"/>
            </w:tcBorders>
            <w:vAlign w:val="center"/>
          </w:tcPr>
          <w:p w14:paraId="3C8249A0" w14:textId="694FB835" w:rsidR="008C4A02" w:rsidRPr="003929B7" w:rsidRDefault="008C4A02" w:rsidP="00FB5841">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FB5841">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D4F4ABA" w14:textId="5DF29611" w:rsidR="008C4A02" w:rsidRPr="003929B7" w:rsidRDefault="008C4A02" w:rsidP="00FB5841">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FB5841">
              <w:rPr>
                <w:rFonts w:ascii="Palatino" w:hAnsi="Palatino" w:cs="Arial"/>
                <w:b/>
                <w:bCs/>
                <w:sz w:val="20"/>
                <w:szCs w:val="20"/>
              </w:rPr>
              <w:t>7</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52AEA96F" w14:textId="77777777" w:rsidR="00374F14" w:rsidRDefault="008C4A02" w:rsidP="00374F14">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p>
    <w:p w14:paraId="0460568B" w14:textId="6C0B4949" w:rsidR="00374F14" w:rsidRDefault="008C4A02" w:rsidP="00374F14">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sz w:val="20"/>
        </w:rPr>
        <w:br/>
      </w:r>
      <w:r w:rsidR="00FB5841" w:rsidRPr="00FB5841">
        <w:rPr>
          <w:rFonts w:ascii="Palatino" w:hAnsi="Palatino"/>
          <w:sz w:val="20"/>
        </w:rPr>
        <w:t>There are no costs or savings to state agencies associated with the implementation of this rule</w:t>
      </w:r>
      <w:r w:rsidR="00374F14" w:rsidRPr="00374F14">
        <w:rPr>
          <w:rFonts w:ascii="Palatino" w:hAnsi="Palatino"/>
          <w:sz w:val="20"/>
        </w:rPr>
        <w:t>.</w:t>
      </w:r>
    </w:p>
    <w:p w14:paraId="3FBD10B2" w14:textId="77777777" w:rsidR="00374F14" w:rsidRPr="008C4A02" w:rsidRDefault="00374F14" w:rsidP="00374F14">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7F021EFE" w:rsidR="008C4A02" w:rsidRPr="003929B7" w:rsidRDefault="008C4A02" w:rsidP="00FB5841">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FB5841">
              <w:rPr>
                <w:rFonts w:ascii="Palatino" w:hAnsi="Palatino" w:cs="Arial"/>
                <w:b/>
                <w:bCs/>
                <w:sz w:val="20"/>
                <w:szCs w:val="20"/>
              </w:rPr>
              <w:t>5</w:t>
            </w:r>
          </w:p>
        </w:tc>
        <w:tc>
          <w:tcPr>
            <w:tcW w:w="1089" w:type="pct"/>
            <w:tcBorders>
              <w:top w:val="single" w:sz="4" w:space="0" w:color="auto"/>
              <w:bottom w:val="single" w:sz="4" w:space="0" w:color="auto"/>
            </w:tcBorders>
            <w:vAlign w:val="center"/>
          </w:tcPr>
          <w:p w14:paraId="166564AD" w14:textId="3B2C2008" w:rsidR="008C4A02" w:rsidRPr="003929B7" w:rsidRDefault="008C4A02" w:rsidP="00FB5841">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FB5841">
              <w:rPr>
                <w:rFonts w:ascii="Palatino" w:hAnsi="Palatino" w:cs="Arial"/>
                <w:b/>
                <w:bCs/>
                <w:sz w:val="20"/>
                <w:szCs w:val="20"/>
              </w:rPr>
              <w:t>6</w:t>
            </w:r>
          </w:p>
        </w:tc>
        <w:tc>
          <w:tcPr>
            <w:tcW w:w="1089" w:type="pct"/>
            <w:tcBorders>
              <w:top w:val="single" w:sz="4" w:space="0" w:color="auto"/>
              <w:bottom w:val="single" w:sz="4" w:space="0" w:color="auto"/>
            </w:tcBorders>
            <w:vAlign w:val="center"/>
          </w:tcPr>
          <w:p w14:paraId="4AD3FE10" w14:textId="6DC41365" w:rsidR="008C4A02" w:rsidRPr="003929B7" w:rsidRDefault="008C4A02" w:rsidP="00FB5841">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FB5841">
              <w:rPr>
                <w:rFonts w:ascii="Palatino" w:hAnsi="Palatino" w:cs="Arial"/>
                <w:b/>
                <w:bCs/>
                <w:sz w:val="20"/>
                <w:szCs w:val="20"/>
              </w:rPr>
              <w:t>7</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1D22A7B" w14:textId="77777777" w:rsidR="00374F14" w:rsidRDefault="008C4A02" w:rsidP="008C4A02">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p>
    <w:p w14:paraId="2E3973CE" w14:textId="0327E76C" w:rsidR="00374F14" w:rsidRDefault="008C4A02" w:rsidP="00374F14">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Pr>
          <w:rFonts w:ascii="Palatino" w:hAnsi="Palatino"/>
          <w:sz w:val="20"/>
        </w:rPr>
        <w:br/>
      </w:r>
      <w:r w:rsidR="000411B2">
        <w:rPr>
          <w:rFonts w:ascii="Palatino" w:hAnsi="Palatino"/>
          <w:sz w:val="20"/>
        </w:rPr>
        <w:t>Not applicable</w:t>
      </w:r>
    </w:p>
    <w:p w14:paraId="752F83F7" w14:textId="2CE5D787" w:rsidR="008C4A02" w:rsidRPr="008C4A02" w:rsidRDefault="008C4A02" w:rsidP="00374F14">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257B8A8" w14:textId="77777777" w:rsidR="00DE773F" w:rsidRDefault="008C4A02" w:rsidP="008C4A02">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p>
    <w:p w14:paraId="745100DB" w14:textId="77777777" w:rsidR="00DE773F" w:rsidRDefault="00DE773F" w:rsidP="00DE773F">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5E65CE9A" w14:textId="35F4B574" w:rsidR="008C4A02" w:rsidRPr="008C4A02" w:rsidRDefault="00FB5841" w:rsidP="00DE773F">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FB5841">
        <w:rPr>
          <w:rFonts w:ascii="Palatino" w:hAnsi="Palatino"/>
          <w:sz w:val="20"/>
        </w:rPr>
        <w:t xml:space="preserve">There is no anticipated impact of the proposed </w:t>
      </w:r>
      <w:r w:rsidR="00D035A9">
        <w:rPr>
          <w:rFonts w:ascii="Palatino" w:hAnsi="Palatino"/>
          <w:sz w:val="20"/>
        </w:rPr>
        <w:t>rule</w:t>
      </w:r>
      <w:r w:rsidR="00D035A9" w:rsidRPr="00FB5841">
        <w:rPr>
          <w:rFonts w:ascii="Palatino" w:hAnsi="Palatino"/>
          <w:sz w:val="20"/>
        </w:rPr>
        <w:t xml:space="preserve"> </w:t>
      </w:r>
      <w:r w:rsidRPr="00FB5841">
        <w:rPr>
          <w:rFonts w:ascii="Palatino" w:hAnsi="Palatino"/>
          <w:sz w:val="20"/>
        </w:rPr>
        <w:t>on local governmental units</w:t>
      </w:r>
      <w:r w:rsidR="00DE773F">
        <w:rPr>
          <w:rFonts w:ascii="Palatino" w:hAnsi="Palatino"/>
          <w:sz w:val="20"/>
        </w:rPr>
        <w:t>.</w:t>
      </w:r>
      <w:r w:rsidR="008C4A02">
        <w:rPr>
          <w:rFonts w:ascii="Palatino" w:hAnsi="Palatino"/>
          <w:sz w:val="20"/>
        </w:rPr>
        <w:br/>
      </w:r>
    </w:p>
    <w:p w14:paraId="51DEC33E" w14:textId="07E1F305" w:rsidR="002814AF" w:rsidRPr="002814AF" w:rsidRDefault="008C4A02" w:rsidP="002814AF">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r w:rsidRPr="002814AF">
        <w:rPr>
          <w:rFonts w:ascii="Palatino" w:hAnsi="Palatino"/>
          <w:sz w:val="20"/>
        </w:rPr>
        <w:tab/>
        <w:t>Indicate the sources of funding of the local governmental unit, which will be affected by these costs or savings.</w:t>
      </w:r>
      <w:r w:rsidRPr="002814AF">
        <w:rPr>
          <w:rFonts w:ascii="Palatino" w:hAnsi="Palatino"/>
          <w:sz w:val="20"/>
        </w:rPr>
        <w:tab/>
      </w:r>
      <w:r w:rsidRPr="002814AF">
        <w:rPr>
          <w:rFonts w:ascii="Palatino" w:hAnsi="Palatino"/>
          <w:sz w:val="20"/>
        </w:rPr>
        <w:br/>
      </w:r>
      <w:r w:rsidRPr="002814AF">
        <w:rPr>
          <w:rFonts w:ascii="Palatino" w:hAnsi="Palatino"/>
          <w:sz w:val="20"/>
        </w:rPr>
        <w:br/>
      </w:r>
      <w:r w:rsidR="000411B2">
        <w:rPr>
          <w:rFonts w:ascii="Palatino" w:hAnsi="Palatino"/>
          <w:sz w:val="20"/>
        </w:rPr>
        <w:t>Not applicable</w:t>
      </w:r>
    </w:p>
    <w:p w14:paraId="5F2C6725" w14:textId="221D1C98" w:rsidR="00DE773F" w:rsidRPr="002814AF" w:rsidRDefault="00DE773F" w:rsidP="00176F34">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sidRPr="002814AF">
        <w:rPr>
          <w:rFonts w:ascii="Palatino" w:hAnsi="Palatino"/>
          <w:sz w:val="20"/>
        </w:rPr>
        <w:br w:type="page"/>
      </w:r>
    </w:p>
    <w:p w14:paraId="76A02806" w14:textId="519CEBE7"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lastRenderedPageBreak/>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Pr="002F6D78"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1B83A6D0" w14:textId="77777777" w:rsidR="00E12B63" w:rsidRPr="003929B7" w:rsidRDefault="00E12B63" w:rsidP="00E12B63">
      <w:pPr>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FB5841"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FB5841" w:rsidRPr="003929B7" w:rsidRDefault="00FB5841" w:rsidP="00FB5841">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3FFBF298" w:rsidR="00FB5841" w:rsidRPr="003929B7" w:rsidRDefault="00FB5841" w:rsidP="00FB5841">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Pr>
                <w:rFonts w:ascii="Palatino" w:hAnsi="Palatino" w:cs="Arial"/>
                <w:b/>
                <w:bCs/>
                <w:sz w:val="20"/>
                <w:szCs w:val="20"/>
              </w:rPr>
              <w:t>5</w:t>
            </w:r>
          </w:p>
        </w:tc>
        <w:tc>
          <w:tcPr>
            <w:tcW w:w="1089" w:type="pct"/>
            <w:tcBorders>
              <w:top w:val="single" w:sz="4" w:space="0" w:color="auto"/>
              <w:bottom w:val="single" w:sz="4" w:space="0" w:color="auto"/>
            </w:tcBorders>
            <w:vAlign w:val="center"/>
          </w:tcPr>
          <w:p w14:paraId="74118CDA" w14:textId="0C929970" w:rsidR="00FB5841" w:rsidRPr="003929B7" w:rsidRDefault="00FB5841" w:rsidP="00FB5841">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055885F" w14:textId="14A81C4C" w:rsidR="00FB5841" w:rsidRPr="003929B7" w:rsidRDefault="00FB5841" w:rsidP="00FB5841">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Pr>
                <w:rFonts w:ascii="Palatino" w:hAnsi="Palatino" w:cs="Arial"/>
                <w:b/>
                <w:bCs/>
                <w:sz w:val="20"/>
                <w:szCs w:val="20"/>
              </w:rPr>
              <w:t>7</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4882A90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1E6FAD5" w14:textId="4C63727F" w:rsidR="00E12B63" w:rsidRPr="00074A31" w:rsidRDefault="00E12B63" w:rsidP="00DC007A">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ascii="Palatino" w:hAnsi="Palatino"/>
          <w:sz w:val="20"/>
        </w:rPr>
      </w:pPr>
      <w:r w:rsidRPr="00074A31">
        <w:rPr>
          <w:rFonts w:ascii="Palatino" w:hAnsi="Palatino"/>
          <w:sz w:val="20"/>
        </w:rPr>
        <w:t>Provide a narrative explanation of each increase or decrease in revenues shown in "A."  Describe all data, assumptions, and methods used in calculating these increases or decreases.</w:t>
      </w:r>
      <w:r w:rsidRPr="00074A31">
        <w:rPr>
          <w:rFonts w:ascii="Palatino" w:hAnsi="Palatino"/>
          <w:sz w:val="20"/>
        </w:rPr>
        <w:tab/>
      </w:r>
      <w:r w:rsidRPr="00074A31">
        <w:rPr>
          <w:rFonts w:ascii="Palatino" w:hAnsi="Palatino"/>
          <w:sz w:val="20"/>
        </w:rPr>
        <w:br/>
      </w:r>
      <w:r w:rsidR="00316ACA" w:rsidRPr="00074A31">
        <w:rPr>
          <w:rFonts w:ascii="Palatino" w:hAnsi="Palatino"/>
          <w:sz w:val="20"/>
        </w:rPr>
        <w:br/>
        <w:t xml:space="preserve">There is no anticipated effect on revenue collections of state or local governmental units </w:t>
      </w:r>
      <w:proofErr w:type="gramStart"/>
      <w:r w:rsidR="00316ACA" w:rsidRPr="00074A31">
        <w:rPr>
          <w:rFonts w:ascii="Palatino" w:hAnsi="Palatino"/>
          <w:sz w:val="20"/>
        </w:rPr>
        <w:t>as a result</w:t>
      </w:r>
      <w:proofErr w:type="gramEnd"/>
      <w:r w:rsidR="00316ACA" w:rsidRPr="00074A31">
        <w:rPr>
          <w:rFonts w:ascii="Palatino" w:hAnsi="Palatino"/>
          <w:sz w:val="20"/>
        </w:rPr>
        <w:t xml:space="preserve"> of the proposed rule change.</w:t>
      </w:r>
      <w:r w:rsidRPr="00074A31">
        <w:rPr>
          <w:rFonts w:ascii="Palatino" w:hAnsi="Palatino"/>
          <w:sz w:val="20"/>
        </w:rPr>
        <w:br/>
      </w:r>
    </w:p>
    <w:p w14:paraId="5068DCBD"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sz w:val="20"/>
        </w:rPr>
        <w:br w:type="page"/>
      </w:r>
      <w:r w:rsidRPr="00DC0C63">
        <w:rPr>
          <w:rFonts w:ascii="Palatino" w:hAnsi="Palatino"/>
          <w:b/>
          <w:sz w:val="20"/>
        </w:rPr>
        <w:lastRenderedPageBreak/>
        <w:t>FISCAL AND ECONOMIC IMPACT STATEMENT</w:t>
      </w:r>
    </w:p>
    <w:p w14:paraId="61E92CB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4965D54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62B2F7D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Palatino" w:hAnsi="Palatino"/>
          <w:sz w:val="20"/>
        </w:rPr>
      </w:pPr>
    </w:p>
    <w:p w14:paraId="06DB4CDA"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0879A222" w14:textId="77777777" w:rsidR="00DE773F" w:rsidRDefault="00E12B63" w:rsidP="00E12B63">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Palatino" w:hAnsi="Palatino"/>
          <w:sz w:val="20"/>
        </w:rPr>
      </w:pPr>
      <w:r>
        <w:rPr>
          <w:rFonts w:ascii="Palatino" w:hAnsi="Palatino"/>
          <w:sz w:val="20"/>
        </w:rPr>
        <w:tab/>
        <w:t>A.</w:t>
      </w:r>
      <w:r>
        <w:rPr>
          <w:rFonts w:ascii="Palatino" w:hAnsi="Palatino"/>
          <w:sz w:val="20"/>
        </w:rPr>
        <w:tab/>
      </w: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would be directly affected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p>
    <w:p w14:paraId="59E7E787" w14:textId="2FED078B" w:rsidR="00316ACA" w:rsidRDefault="00E12B63" w:rsidP="000655A1">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Pr>
          <w:rFonts w:ascii="Palatino" w:hAnsi="Palatino"/>
          <w:sz w:val="20"/>
        </w:rPr>
        <w:br/>
      </w:r>
      <w:r w:rsidR="00316ACA" w:rsidRPr="008E1B30">
        <w:rPr>
          <w:rFonts w:ascii="Palatino" w:hAnsi="Palatino"/>
          <w:sz w:val="20"/>
        </w:rPr>
        <w:t xml:space="preserve">Assuming the delisting petition is granted, Chevron </w:t>
      </w:r>
      <w:proofErr w:type="spellStart"/>
      <w:r w:rsidR="00316ACA" w:rsidRPr="008E1B30">
        <w:rPr>
          <w:rFonts w:ascii="Palatino" w:hAnsi="Palatino"/>
          <w:sz w:val="20"/>
        </w:rPr>
        <w:t>Oronite</w:t>
      </w:r>
      <w:proofErr w:type="spellEnd"/>
      <w:r w:rsidR="00316ACA" w:rsidRPr="008E1B30">
        <w:rPr>
          <w:rFonts w:ascii="Palatino" w:hAnsi="Palatino"/>
          <w:sz w:val="20"/>
        </w:rPr>
        <w:t xml:space="preserve"> Co</w:t>
      </w:r>
      <w:r w:rsidR="0032510E">
        <w:rPr>
          <w:rFonts w:ascii="Palatino" w:hAnsi="Palatino"/>
          <w:sz w:val="20"/>
        </w:rPr>
        <w:t>.</w:t>
      </w:r>
      <w:r w:rsidR="00316ACA" w:rsidRPr="008E1B30">
        <w:rPr>
          <w:rFonts w:ascii="Palatino" w:hAnsi="Palatino"/>
          <w:sz w:val="20"/>
        </w:rPr>
        <w:t xml:space="preserve"> LLC - Oak Point Plant will remove the material and send it to a permitted </w:t>
      </w:r>
      <w:r w:rsidR="00316ACA">
        <w:rPr>
          <w:rFonts w:ascii="Palatino" w:hAnsi="Palatino"/>
          <w:sz w:val="20"/>
        </w:rPr>
        <w:t>non</w:t>
      </w:r>
      <w:r w:rsidR="00316ACA" w:rsidRPr="009643F2">
        <w:rPr>
          <w:rFonts w:ascii="Palatino" w:hAnsi="Palatino"/>
          <w:sz w:val="20"/>
        </w:rPr>
        <w:t xml:space="preserve">hazardous </w:t>
      </w:r>
      <w:r w:rsidR="00316ACA">
        <w:rPr>
          <w:rFonts w:ascii="Palatino" w:hAnsi="Palatino"/>
          <w:sz w:val="20"/>
        </w:rPr>
        <w:t xml:space="preserve">industrial </w:t>
      </w:r>
      <w:r w:rsidR="00316ACA" w:rsidRPr="008E1B30">
        <w:rPr>
          <w:rFonts w:ascii="Palatino" w:hAnsi="Palatino"/>
          <w:sz w:val="20"/>
        </w:rPr>
        <w:t xml:space="preserve">solid waste landfill for disposal. This option </w:t>
      </w:r>
      <w:r w:rsidR="00CD6EB2">
        <w:rPr>
          <w:rFonts w:ascii="Palatino" w:hAnsi="Palatino"/>
          <w:sz w:val="20"/>
        </w:rPr>
        <w:t>may</w:t>
      </w:r>
      <w:r w:rsidR="00316ACA" w:rsidRPr="008E1B30">
        <w:rPr>
          <w:rFonts w:ascii="Palatino" w:hAnsi="Palatino"/>
          <w:sz w:val="20"/>
        </w:rPr>
        <w:t xml:space="preserve"> produce an economic benefit to Louisiana contractors. </w:t>
      </w:r>
      <w:r w:rsidR="00316ACA">
        <w:rPr>
          <w:rFonts w:ascii="Palatino" w:hAnsi="Palatino"/>
          <w:sz w:val="20"/>
        </w:rPr>
        <w:t xml:space="preserve">Chevron </w:t>
      </w:r>
      <w:proofErr w:type="spellStart"/>
      <w:r w:rsidR="00316ACA">
        <w:rPr>
          <w:rFonts w:ascii="Palatino" w:hAnsi="Palatino"/>
          <w:sz w:val="20"/>
        </w:rPr>
        <w:t>Oronite</w:t>
      </w:r>
      <w:proofErr w:type="spellEnd"/>
      <w:r w:rsidR="00316ACA">
        <w:rPr>
          <w:rFonts w:ascii="Palatino" w:hAnsi="Palatino"/>
          <w:sz w:val="20"/>
        </w:rPr>
        <w:t xml:space="preserve"> Co</w:t>
      </w:r>
      <w:r w:rsidR="0032510E">
        <w:rPr>
          <w:rFonts w:ascii="Palatino" w:hAnsi="Palatino"/>
          <w:sz w:val="20"/>
        </w:rPr>
        <w:t>.</w:t>
      </w:r>
      <w:r w:rsidR="00316ACA">
        <w:rPr>
          <w:rFonts w:ascii="Palatino" w:hAnsi="Palatino"/>
          <w:sz w:val="20"/>
        </w:rPr>
        <w:t xml:space="preserve"> LLC - Oak Point Plant also has the option for </w:t>
      </w:r>
      <w:r w:rsidR="00316ACA" w:rsidRPr="00111C2F">
        <w:rPr>
          <w:rFonts w:ascii="Palatino" w:hAnsi="Palatino"/>
          <w:sz w:val="20"/>
        </w:rPr>
        <w:t xml:space="preserve">in-place management using alternate methods approved by </w:t>
      </w:r>
      <w:r w:rsidR="00316ACA">
        <w:rPr>
          <w:rFonts w:ascii="Palatino" w:hAnsi="Palatino"/>
          <w:sz w:val="20"/>
        </w:rPr>
        <w:t>the Louisiana Department of Environmental Quality (</w:t>
      </w:r>
      <w:r w:rsidR="00316ACA" w:rsidRPr="00111C2F">
        <w:rPr>
          <w:rFonts w:ascii="Palatino" w:hAnsi="Palatino"/>
          <w:sz w:val="20"/>
        </w:rPr>
        <w:t>LDEQ</w:t>
      </w:r>
      <w:r w:rsidR="00316ACA">
        <w:rPr>
          <w:rFonts w:ascii="Palatino" w:hAnsi="Palatino"/>
          <w:sz w:val="20"/>
        </w:rPr>
        <w:t>).</w:t>
      </w:r>
      <w:r w:rsidR="00316ACA" w:rsidRPr="00111C2F">
        <w:rPr>
          <w:rFonts w:ascii="Palatino" w:hAnsi="Palatino"/>
          <w:sz w:val="20"/>
        </w:rPr>
        <w:t xml:space="preserve"> </w:t>
      </w:r>
      <w:r w:rsidR="00316ACA" w:rsidRPr="008E1B30">
        <w:rPr>
          <w:rFonts w:ascii="Palatino" w:hAnsi="Palatino"/>
          <w:sz w:val="20"/>
        </w:rPr>
        <w:t xml:space="preserve">The remediation of the 200,500 cubic yards will benefit Chevron </w:t>
      </w:r>
      <w:proofErr w:type="spellStart"/>
      <w:r w:rsidR="00316ACA" w:rsidRPr="008E1B30">
        <w:rPr>
          <w:rFonts w:ascii="Palatino" w:hAnsi="Palatino"/>
          <w:sz w:val="20"/>
        </w:rPr>
        <w:t>Oronite</w:t>
      </w:r>
      <w:proofErr w:type="spellEnd"/>
      <w:r w:rsidR="00316ACA" w:rsidRPr="008E1B30">
        <w:rPr>
          <w:rFonts w:ascii="Palatino" w:hAnsi="Palatino"/>
          <w:sz w:val="20"/>
        </w:rPr>
        <w:t xml:space="preserve"> Co</w:t>
      </w:r>
      <w:r w:rsidR="0032510E">
        <w:rPr>
          <w:rFonts w:ascii="Palatino" w:hAnsi="Palatino"/>
          <w:sz w:val="20"/>
        </w:rPr>
        <w:t>.</w:t>
      </w:r>
      <w:r w:rsidR="00316ACA" w:rsidRPr="008E1B30">
        <w:rPr>
          <w:rFonts w:ascii="Palatino" w:hAnsi="Palatino"/>
          <w:sz w:val="20"/>
        </w:rPr>
        <w:t xml:space="preserve"> LLC - Oak Point Plant by allowing its industrial property to be fully utilized.</w:t>
      </w:r>
      <w:r w:rsidR="00316ACA">
        <w:rPr>
          <w:rFonts w:ascii="Palatino" w:hAnsi="Palatino"/>
          <w:sz w:val="20"/>
        </w:rPr>
        <w:tab/>
      </w:r>
    </w:p>
    <w:p w14:paraId="178016D8" w14:textId="77777777" w:rsidR="00316ACA" w:rsidRDefault="00316ACA" w:rsidP="000655A1">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57DE8992" w14:textId="5F0BD2B0" w:rsidR="000655A1" w:rsidRDefault="000655A1" w:rsidP="000655A1">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sidRPr="000655A1">
        <w:rPr>
          <w:rFonts w:ascii="Palatino" w:hAnsi="Palatino"/>
          <w:sz w:val="20"/>
        </w:rPr>
        <w:t xml:space="preserve">The Chevron </w:t>
      </w:r>
      <w:proofErr w:type="spellStart"/>
      <w:r w:rsidRPr="000655A1">
        <w:rPr>
          <w:rFonts w:ascii="Palatino" w:hAnsi="Palatino"/>
          <w:sz w:val="20"/>
        </w:rPr>
        <w:t>Oronite</w:t>
      </w:r>
      <w:proofErr w:type="spellEnd"/>
      <w:r w:rsidRPr="000655A1">
        <w:rPr>
          <w:rFonts w:ascii="Palatino" w:hAnsi="Palatino"/>
          <w:sz w:val="20"/>
        </w:rPr>
        <w:t xml:space="preserve"> Co</w:t>
      </w:r>
      <w:r w:rsidR="0032510E">
        <w:rPr>
          <w:rFonts w:ascii="Palatino" w:hAnsi="Palatino"/>
          <w:sz w:val="20"/>
        </w:rPr>
        <w:t>.</w:t>
      </w:r>
      <w:r w:rsidRPr="000655A1">
        <w:rPr>
          <w:rFonts w:ascii="Palatino" w:hAnsi="Palatino"/>
          <w:sz w:val="20"/>
        </w:rPr>
        <w:t xml:space="preserve"> LLC – Oak Point Plant will directly benefit from the delisting of incinerator ash and scrubber mud currently disposed of in Landfills A, B, and C. This change will reduce regulatory burdens and </w:t>
      </w:r>
      <w:r w:rsidR="003C6B97">
        <w:rPr>
          <w:rFonts w:ascii="Palatino" w:hAnsi="Palatino"/>
          <w:sz w:val="20"/>
        </w:rPr>
        <w:t>management</w:t>
      </w:r>
      <w:r w:rsidRPr="000655A1">
        <w:rPr>
          <w:rFonts w:ascii="Palatino" w:hAnsi="Palatino"/>
          <w:sz w:val="20"/>
        </w:rPr>
        <w:t xml:space="preserve"> costs, allowing the facility t</w:t>
      </w:r>
      <w:r w:rsidR="003C6B97">
        <w:rPr>
          <w:rFonts w:ascii="Palatino" w:hAnsi="Palatino"/>
          <w:sz w:val="20"/>
        </w:rPr>
        <w:t xml:space="preserve">o manage these materials </w:t>
      </w:r>
      <w:r w:rsidR="00111C2F" w:rsidRPr="00111C2F">
        <w:rPr>
          <w:rFonts w:ascii="Palatino" w:hAnsi="Palatino"/>
          <w:sz w:val="20"/>
        </w:rPr>
        <w:t>efficien</w:t>
      </w:r>
      <w:r w:rsidR="003C6B97">
        <w:rPr>
          <w:rFonts w:ascii="Palatino" w:hAnsi="Palatino"/>
          <w:sz w:val="20"/>
        </w:rPr>
        <w:t>tl</w:t>
      </w:r>
      <w:r w:rsidR="00111C2F" w:rsidRPr="00111C2F">
        <w:rPr>
          <w:rFonts w:ascii="Palatino" w:hAnsi="Palatino"/>
          <w:sz w:val="20"/>
        </w:rPr>
        <w:t>y while ensuring environmental protection</w:t>
      </w:r>
      <w:r w:rsidRPr="000655A1">
        <w:rPr>
          <w:rFonts w:ascii="Palatino" w:hAnsi="Palatino"/>
          <w:sz w:val="20"/>
        </w:rPr>
        <w:t xml:space="preserve">. </w:t>
      </w:r>
    </w:p>
    <w:p w14:paraId="1FF01946" w14:textId="77777777" w:rsidR="000655A1" w:rsidRDefault="000655A1" w:rsidP="000655A1">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701AE9F8" w14:textId="7E11A6C6" w:rsidR="000655A1" w:rsidRDefault="000655A1" w:rsidP="000655A1">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sidRPr="000655A1">
        <w:rPr>
          <w:rFonts w:ascii="Palatino" w:hAnsi="Palatino"/>
          <w:sz w:val="20"/>
        </w:rPr>
        <w:t xml:space="preserve">Additionally, the delisting </w:t>
      </w:r>
      <w:r w:rsidR="00D4072C">
        <w:rPr>
          <w:rFonts w:ascii="Palatino" w:hAnsi="Palatino"/>
          <w:sz w:val="20"/>
        </w:rPr>
        <w:t>has the potential to</w:t>
      </w:r>
      <w:r w:rsidRPr="000655A1">
        <w:rPr>
          <w:rFonts w:ascii="Palatino" w:hAnsi="Palatino"/>
          <w:sz w:val="20"/>
        </w:rPr>
        <w:t xml:space="preserve"> free up land previously occupied by these landfills, providing the facility with opportunities for future operational improvements and site development. </w:t>
      </w:r>
    </w:p>
    <w:p w14:paraId="245AFA55" w14:textId="77777777" w:rsidR="000655A1" w:rsidRDefault="000655A1" w:rsidP="000655A1">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01376DC2" w14:textId="678704C8" w:rsidR="00EB574A" w:rsidRPr="00DC0C63" w:rsidRDefault="00EB574A" w:rsidP="00AA03DA">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D0514F1" w14:textId="77777777" w:rsidR="003C539D" w:rsidRDefault="00E12B63" w:rsidP="00331C01">
      <w:pPr>
        <w:pStyle w:val="WPNormal"/>
        <w:numPr>
          <w:ilvl w:val="0"/>
          <w:numId w:val="6"/>
        </w:numPr>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0A56B9">
        <w:rPr>
          <w:rFonts w:ascii="Palatino" w:hAnsi="Palatino"/>
          <w:sz w:val="20"/>
        </w:rPr>
        <w:t>Also provide an estimate and a narrative description of any impact on receipts and/or income resulting from this rule or rule change to these groups.</w:t>
      </w:r>
      <w:r w:rsidRPr="000A56B9">
        <w:rPr>
          <w:rFonts w:ascii="Palatino" w:hAnsi="Palatino"/>
          <w:sz w:val="20"/>
        </w:rPr>
        <w:tab/>
      </w:r>
    </w:p>
    <w:p w14:paraId="17F0DED1" w14:textId="77777777" w:rsidR="003C539D" w:rsidRDefault="003C539D" w:rsidP="003C539D">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442480FB" w14:textId="23B6A9E3" w:rsidR="000655A1" w:rsidRDefault="000655A1" w:rsidP="000655A1">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sidRPr="000655A1">
        <w:rPr>
          <w:rFonts w:ascii="Palatino" w:hAnsi="Palatino"/>
          <w:sz w:val="20"/>
        </w:rPr>
        <w:t xml:space="preserve">Approval of this delisting will result in significant cost savings for Chevron </w:t>
      </w:r>
      <w:proofErr w:type="spellStart"/>
      <w:r w:rsidRPr="000655A1">
        <w:rPr>
          <w:rFonts w:ascii="Palatino" w:hAnsi="Palatino"/>
          <w:sz w:val="20"/>
        </w:rPr>
        <w:t>Oronite</w:t>
      </w:r>
      <w:proofErr w:type="spellEnd"/>
      <w:r w:rsidRPr="000655A1">
        <w:rPr>
          <w:rFonts w:ascii="Palatino" w:hAnsi="Palatino"/>
          <w:sz w:val="20"/>
        </w:rPr>
        <w:t xml:space="preserve"> Co</w:t>
      </w:r>
      <w:r w:rsidR="0032510E">
        <w:rPr>
          <w:rFonts w:ascii="Palatino" w:hAnsi="Palatino"/>
          <w:sz w:val="20"/>
        </w:rPr>
        <w:t>.</w:t>
      </w:r>
      <w:r w:rsidRPr="000655A1">
        <w:rPr>
          <w:rFonts w:ascii="Palatino" w:hAnsi="Palatino"/>
          <w:sz w:val="20"/>
        </w:rPr>
        <w:t xml:space="preserve"> LLC – Oak Point Plant by eliminating the expenses associated with managing the 200,500 cubic yards of incinerator ash and scrubber mud as hazardous waste. </w:t>
      </w:r>
      <w:r w:rsidR="00D4072C">
        <w:rPr>
          <w:rFonts w:ascii="Palatino" w:hAnsi="Palatino"/>
          <w:sz w:val="20"/>
        </w:rPr>
        <w:t>E</w:t>
      </w:r>
      <w:r w:rsidR="00D4072C" w:rsidRPr="00D4072C">
        <w:rPr>
          <w:rFonts w:ascii="Palatino" w:hAnsi="Palatino"/>
          <w:sz w:val="20"/>
        </w:rPr>
        <w:t>fficient management of t</w:t>
      </w:r>
      <w:r w:rsidR="00274AF6">
        <w:rPr>
          <w:rFonts w:ascii="Palatino" w:hAnsi="Palatino"/>
          <w:sz w:val="20"/>
        </w:rPr>
        <w:t>he waste in accordance with non</w:t>
      </w:r>
      <w:r w:rsidR="00D4072C" w:rsidRPr="00D4072C">
        <w:rPr>
          <w:rFonts w:ascii="Palatino" w:hAnsi="Palatino"/>
          <w:sz w:val="20"/>
        </w:rPr>
        <w:t>hazardous solid waste standards, either at a permitted off-site facility appropriate for this waste type or through in-place management using alternate methods approved by LDEQ</w:t>
      </w:r>
      <w:r w:rsidRPr="000655A1">
        <w:rPr>
          <w:rFonts w:ascii="Palatino" w:hAnsi="Palatino"/>
          <w:sz w:val="20"/>
        </w:rPr>
        <w:t>, the facility will reduce long-term compliance and operational costs.</w:t>
      </w:r>
    </w:p>
    <w:p w14:paraId="4FCEAF66" w14:textId="77777777" w:rsidR="000655A1" w:rsidRPr="000655A1" w:rsidRDefault="000655A1" w:rsidP="000655A1">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477500FD" w14:textId="10C3C6DC" w:rsidR="000655A1" w:rsidRPr="000655A1" w:rsidRDefault="000655A1" w:rsidP="000655A1">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r w:rsidRPr="000655A1">
        <w:rPr>
          <w:rFonts w:ascii="Palatino" w:hAnsi="Palatino"/>
          <w:sz w:val="20"/>
        </w:rPr>
        <w:t xml:space="preserve">Furthermore, </w:t>
      </w:r>
      <w:r w:rsidR="00D4072C">
        <w:rPr>
          <w:rFonts w:ascii="Palatino" w:hAnsi="Palatino"/>
          <w:sz w:val="20"/>
        </w:rPr>
        <w:t>any</w:t>
      </w:r>
      <w:r w:rsidRPr="000655A1">
        <w:rPr>
          <w:rFonts w:ascii="Palatino" w:hAnsi="Palatino"/>
          <w:sz w:val="20"/>
        </w:rPr>
        <w:t xml:space="preserve"> reclaimed land could create potential revenue opportunities through future expansion, increased production capacity, or new site developments, ultimately contributing to the facility’s financial growth.</w:t>
      </w:r>
    </w:p>
    <w:p w14:paraId="5F49280E" w14:textId="77777777" w:rsidR="007203E0" w:rsidRPr="000A56B9" w:rsidRDefault="007203E0" w:rsidP="003C539D">
      <w:pPr>
        <w:pStyle w:val="WPNormal"/>
        <w:tabs>
          <w:tab w:val="left" w:pos="-720"/>
          <w:tab w:val="left" w:pos="0"/>
          <w:tab w:val="left" w:pos="38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6FC752A4"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116F337D" w14:textId="448F9FE5" w:rsidR="00316ACA" w:rsidRDefault="00E12B63" w:rsidP="00AA03DA">
      <w:pPr>
        <w:pStyle w:val="WPNormal"/>
        <w:tabs>
          <w:tab w:val="left" w:pos="-720"/>
          <w:tab w:val="left" w:pos="380"/>
          <w:tab w:val="left" w:pos="72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360" w:hanging="360"/>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sidR="00316ACA" w:rsidRPr="008E1B30">
        <w:rPr>
          <w:rFonts w:ascii="Palatino" w:hAnsi="Palatino"/>
          <w:sz w:val="20"/>
        </w:rPr>
        <w:t xml:space="preserve">The effects on competition are negligible. The delisting facilitates the remediation of materials that have been determined </w:t>
      </w:r>
      <w:r w:rsidR="00316ACA">
        <w:rPr>
          <w:rFonts w:ascii="Palatino" w:hAnsi="Palatino"/>
          <w:sz w:val="20"/>
        </w:rPr>
        <w:t>not to exhibit</w:t>
      </w:r>
      <w:r w:rsidR="00316ACA" w:rsidRPr="008E1B30">
        <w:rPr>
          <w:rFonts w:ascii="Palatino" w:hAnsi="Palatino"/>
          <w:sz w:val="20"/>
        </w:rPr>
        <w:t xml:space="preserve"> hazardous waste characteristics. The removal and disposal activities related to the 200,500 cubic yards will involve short-term </w:t>
      </w:r>
      <w:r w:rsidR="00316ACA">
        <w:rPr>
          <w:rFonts w:ascii="Palatino" w:hAnsi="Palatino"/>
          <w:sz w:val="20"/>
        </w:rPr>
        <w:t xml:space="preserve">employment in </w:t>
      </w:r>
      <w:r w:rsidR="00316ACA" w:rsidRPr="008E1B30">
        <w:rPr>
          <w:rFonts w:ascii="Palatino" w:hAnsi="Palatino"/>
          <w:sz w:val="20"/>
        </w:rPr>
        <w:t>environmental, laboratory, and construction</w:t>
      </w:r>
      <w:r w:rsidR="00316ACA">
        <w:rPr>
          <w:rFonts w:ascii="Palatino" w:hAnsi="Palatino"/>
          <w:sz w:val="20"/>
        </w:rPr>
        <w:t>-related fields</w:t>
      </w:r>
      <w:r w:rsidR="00316ACA" w:rsidRPr="008E1B30">
        <w:rPr>
          <w:rFonts w:ascii="Palatino" w:hAnsi="Palatino"/>
          <w:sz w:val="20"/>
        </w:rPr>
        <w:t>.</w:t>
      </w:r>
    </w:p>
    <w:p w14:paraId="56CBEEB6" w14:textId="77777777" w:rsidR="00316ACA" w:rsidRPr="004F6187" w:rsidRDefault="00316ACA" w:rsidP="00686BBB">
      <w:pPr>
        <w:pStyle w:val="WPNormal"/>
        <w:tabs>
          <w:tab w:val="left" w:pos="-720"/>
          <w:tab w:val="left" w:pos="380"/>
          <w:tab w:val="left" w:pos="72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360" w:hanging="360"/>
        <w:rPr>
          <w:rFonts w:ascii="Palatino" w:hAnsi="Palatino"/>
          <w:sz w:val="20"/>
        </w:rPr>
      </w:pPr>
    </w:p>
    <w:sectPr w:rsidR="00316ACA" w:rsidRPr="004F6187" w:rsidSect="00DB1958">
      <w:type w:val="continuous"/>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2A447" w14:textId="77777777" w:rsidR="00442C75" w:rsidRDefault="00442C75" w:rsidP="008C4A02">
      <w:r>
        <w:separator/>
      </w:r>
    </w:p>
  </w:endnote>
  <w:endnote w:type="continuationSeparator" w:id="0">
    <w:p w14:paraId="78740FC7" w14:textId="77777777" w:rsidR="00442C75" w:rsidRDefault="00442C75"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1D2E4FEF"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A444C" w14:textId="77777777" w:rsidR="00442C75" w:rsidRDefault="00442C75" w:rsidP="008C4A02">
      <w:r>
        <w:separator/>
      </w:r>
    </w:p>
  </w:footnote>
  <w:footnote w:type="continuationSeparator" w:id="0">
    <w:p w14:paraId="104018E7" w14:textId="77777777" w:rsidR="00442C75" w:rsidRDefault="00442C75"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8C6"/>
    <w:multiLevelType w:val="hybridMultilevel"/>
    <w:tmpl w:val="7FDEEF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1"/>
  </w:num>
  <w:num w:numId="4">
    <w:abstractNumId w:val="7"/>
  </w:num>
  <w:num w:numId="5">
    <w:abstractNumId w:val="3"/>
  </w:num>
  <w:num w:numId="6">
    <w:abstractNumId w:val="5"/>
  </w:num>
  <w:num w:numId="7">
    <w:abstractNumId w:val="6"/>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411B2"/>
    <w:rsid w:val="000655A1"/>
    <w:rsid w:val="00074A31"/>
    <w:rsid w:val="00082CD2"/>
    <w:rsid w:val="000A56B9"/>
    <w:rsid w:val="000B3B46"/>
    <w:rsid w:val="000D3189"/>
    <w:rsid w:val="00111C2F"/>
    <w:rsid w:val="001649FC"/>
    <w:rsid w:val="00174092"/>
    <w:rsid w:val="001904E4"/>
    <w:rsid w:val="00194E78"/>
    <w:rsid w:val="001C0FD8"/>
    <w:rsid w:val="00274AF6"/>
    <w:rsid w:val="00277444"/>
    <w:rsid w:val="002814AF"/>
    <w:rsid w:val="00287A7E"/>
    <w:rsid w:val="002A6257"/>
    <w:rsid w:val="002F4777"/>
    <w:rsid w:val="00316ACA"/>
    <w:rsid w:val="0031758E"/>
    <w:rsid w:val="0032510E"/>
    <w:rsid w:val="003455EA"/>
    <w:rsid w:val="00350DE1"/>
    <w:rsid w:val="00355605"/>
    <w:rsid w:val="00374F14"/>
    <w:rsid w:val="0038483E"/>
    <w:rsid w:val="003864DD"/>
    <w:rsid w:val="003A2194"/>
    <w:rsid w:val="003C539D"/>
    <w:rsid w:val="003C6B97"/>
    <w:rsid w:val="003C6C91"/>
    <w:rsid w:val="0041055E"/>
    <w:rsid w:val="00442C75"/>
    <w:rsid w:val="004815F6"/>
    <w:rsid w:val="00493842"/>
    <w:rsid w:val="004F6187"/>
    <w:rsid w:val="00593C8F"/>
    <w:rsid w:val="005B49F9"/>
    <w:rsid w:val="006146CE"/>
    <w:rsid w:val="00625862"/>
    <w:rsid w:val="00680EAE"/>
    <w:rsid w:val="00686BBB"/>
    <w:rsid w:val="006C1C27"/>
    <w:rsid w:val="007203E0"/>
    <w:rsid w:val="00762D26"/>
    <w:rsid w:val="007E34EE"/>
    <w:rsid w:val="00804B16"/>
    <w:rsid w:val="00813611"/>
    <w:rsid w:val="00825FE1"/>
    <w:rsid w:val="00876057"/>
    <w:rsid w:val="008B6D06"/>
    <w:rsid w:val="008C4A02"/>
    <w:rsid w:val="008E1AC3"/>
    <w:rsid w:val="008E1B30"/>
    <w:rsid w:val="009643F2"/>
    <w:rsid w:val="00971B4D"/>
    <w:rsid w:val="009F6411"/>
    <w:rsid w:val="00A46D65"/>
    <w:rsid w:val="00A82C43"/>
    <w:rsid w:val="00A90395"/>
    <w:rsid w:val="00AA03DA"/>
    <w:rsid w:val="00AD58F2"/>
    <w:rsid w:val="00AD5943"/>
    <w:rsid w:val="00B14930"/>
    <w:rsid w:val="00B160E2"/>
    <w:rsid w:val="00B60B62"/>
    <w:rsid w:val="00C10B50"/>
    <w:rsid w:val="00C46FDC"/>
    <w:rsid w:val="00CD6EB2"/>
    <w:rsid w:val="00CE64E5"/>
    <w:rsid w:val="00D00769"/>
    <w:rsid w:val="00D035A9"/>
    <w:rsid w:val="00D26A97"/>
    <w:rsid w:val="00D4072C"/>
    <w:rsid w:val="00D42DCA"/>
    <w:rsid w:val="00D61DD8"/>
    <w:rsid w:val="00D7095D"/>
    <w:rsid w:val="00DB1958"/>
    <w:rsid w:val="00DC277C"/>
    <w:rsid w:val="00DC3B3F"/>
    <w:rsid w:val="00DE773F"/>
    <w:rsid w:val="00E12B63"/>
    <w:rsid w:val="00E64426"/>
    <w:rsid w:val="00EB574A"/>
    <w:rsid w:val="00F11475"/>
    <w:rsid w:val="00F15985"/>
    <w:rsid w:val="00F76B4E"/>
    <w:rsid w:val="00FB5841"/>
    <w:rsid w:val="00FC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NormalWeb">
    <w:name w:val="Normal (Web)"/>
    <w:basedOn w:val="Normal"/>
    <w:uiPriority w:val="99"/>
    <w:semiHidden/>
    <w:unhideWhenUsed/>
    <w:rsid w:val="00686BBB"/>
    <w:rPr>
      <w:rFonts w:ascii="Times New Roman" w:hAnsi="Times New Roman" w:cs="Times New Roman"/>
    </w:rPr>
  </w:style>
  <w:style w:type="paragraph" w:styleId="BalloonText">
    <w:name w:val="Balloon Text"/>
    <w:basedOn w:val="Normal"/>
    <w:link w:val="BalloonTextChar"/>
    <w:uiPriority w:val="99"/>
    <w:semiHidden/>
    <w:unhideWhenUsed/>
    <w:rsid w:val="00AD59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943"/>
    <w:rPr>
      <w:rFonts w:ascii="Segoe UI" w:hAnsi="Segoe UI" w:cs="Segoe UI"/>
      <w:sz w:val="18"/>
      <w:szCs w:val="18"/>
    </w:rPr>
  </w:style>
  <w:style w:type="paragraph" w:styleId="Revision">
    <w:name w:val="Revision"/>
    <w:hidden/>
    <w:uiPriority w:val="99"/>
    <w:semiHidden/>
    <w:rsid w:val="00D0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125486">
      <w:bodyDiv w:val="1"/>
      <w:marLeft w:val="0"/>
      <w:marRight w:val="0"/>
      <w:marTop w:val="0"/>
      <w:marBottom w:val="0"/>
      <w:divBdr>
        <w:top w:val="none" w:sz="0" w:space="0" w:color="auto"/>
        <w:left w:val="none" w:sz="0" w:space="0" w:color="auto"/>
        <w:bottom w:val="none" w:sz="0" w:space="0" w:color="auto"/>
        <w:right w:val="none" w:sz="0" w:space="0" w:color="auto"/>
      </w:divBdr>
    </w:div>
    <w:div w:id="798258881">
      <w:bodyDiv w:val="1"/>
      <w:marLeft w:val="0"/>
      <w:marRight w:val="0"/>
      <w:marTop w:val="0"/>
      <w:marBottom w:val="0"/>
      <w:divBdr>
        <w:top w:val="none" w:sz="0" w:space="0" w:color="auto"/>
        <w:left w:val="none" w:sz="0" w:space="0" w:color="auto"/>
        <w:bottom w:val="none" w:sz="0" w:space="0" w:color="auto"/>
        <w:right w:val="none" w:sz="0" w:space="0" w:color="auto"/>
      </w:divBdr>
    </w:div>
    <w:div w:id="167059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1297E-0A95-4B90-BC83-1BAAFA866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3010</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2025-04-03T13:31:00Z</cp:lastPrinted>
  <dcterms:created xsi:type="dcterms:W3CDTF">2025-04-10T17:57:00Z</dcterms:created>
  <dcterms:modified xsi:type="dcterms:W3CDTF">2025-04-10T17:57:00Z</dcterms:modified>
</cp:coreProperties>
</file>