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04492" w14:textId="77777777" w:rsidR="00074A31" w:rsidRPr="00074A31" w:rsidRDefault="00074A31" w:rsidP="00074A31">
      <w:pPr>
        <w:jc w:val="center"/>
        <w:rPr>
          <w:rFonts w:ascii="Times New Roman" w:eastAsia="Times New Roman" w:hAnsi="Times New Roman" w:cs="Times New Roman"/>
          <w:b/>
        </w:rPr>
      </w:pPr>
      <w:r w:rsidRPr="00074A31">
        <w:rPr>
          <w:rFonts w:ascii="Times New Roman" w:eastAsia="Times New Roman" w:hAnsi="Times New Roman" w:cs="Times New Roman"/>
          <w:b/>
        </w:rPr>
        <w:t>Title 33</w:t>
      </w:r>
    </w:p>
    <w:p w14:paraId="16633A35" w14:textId="77777777" w:rsidR="00074A31" w:rsidRPr="00074A31" w:rsidRDefault="00074A31" w:rsidP="00074A31">
      <w:pPr>
        <w:jc w:val="center"/>
        <w:rPr>
          <w:rFonts w:ascii="Times New Roman" w:eastAsia="Times New Roman" w:hAnsi="Times New Roman" w:cs="Times New Roman"/>
          <w:b/>
        </w:rPr>
      </w:pPr>
      <w:r w:rsidRPr="00074A31">
        <w:rPr>
          <w:rFonts w:ascii="Times New Roman" w:eastAsia="Times New Roman" w:hAnsi="Times New Roman" w:cs="Times New Roman"/>
          <w:b/>
        </w:rPr>
        <w:t>ENVIRONMENTAL QUALITY</w:t>
      </w:r>
    </w:p>
    <w:p w14:paraId="77BCBA53" w14:textId="77777777" w:rsidR="00074A31" w:rsidRPr="00074A31" w:rsidRDefault="00074A31" w:rsidP="00074A31">
      <w:pPr>
        <w:jc w:val="center"/>
        <w:rPr>
          <w:rFonts w:ascii="Times New Roman" w:eastAsia="Times New Roman" w:hAnsi="Times New Roman" w:cs="Times New Roman"/>
          <w:b/>
        </w:rPr>
      </w:pPr>
      <w:r w:rsidRPr="00074A31">
        <w:rPr>
          <w:rFonts w:ascii="Times New Roman" w:eastAsia="Times New Roman" w:hAnsi="Times New Roman" w:cs="Times New Roman"/>
          <w:b/>
        </w:rPr>
        <w:t>Part V. Hazardous Waste and Hazardous Materials</w:t>
      </w:r>
    </w:p>
    <w:p w14:paraId="1E44EF66" w14:textId="77777777" w:rsidR="00074A31" w:rsidRPr="00074A31" w:rsidRDefault="00074A31" w:rsidP="00074A31">
      <w:pPr>
        <w:jc w:val="center"/>
        <w:rPr>
          <w:rFonts w:ascii="Times New Roman" w:eastAsia="Times New Roman" w:hAnsi="Times New Roman" w:cs="Times New Roman"/>
          <w:b/>
        </w:rPr>
      </w:pPr>
      <w:r w:rsidRPr="00074A31">
        <w:rPr>
          <w:rFonts w:ascii="Times New Roman" w:eastAsia="Times New Roman" w:hAnsi="Times New Roman" w:cs="Times New Roman"/>
          <w:b/>
        </w:rPr>
        <w:t>Subpart 1. Department of Environmental Quality—Hazardous Waste</w:t>
      </w:r>
    </w:p>
    <w:p w14:paraId="55A0EF99" w14:textId="77777777" w:rsidR="00074A31" w:rsidRPr="00074A31" w:rsidRDefault="00074A31" w:rsidP="00074A31">
      <w:pPr>
        <w:rPr>
          <w:rFonts w:ascii="Times New Roman" w:eastAsia="Times New Roman" w:hAnsi="Times New Roman" w:cs="Times New Roman"/>
        </w:rPr>
      </w:pPr>
    </w:p>
    <w:p w14:paraId="1A14AEBB" w14:textId="77777777" w:rsidR="00074A31" w:rsidRPr="00074A31" w:rsidRDefault="00074A31" w:rsidP="00074A31">
      <w:pPr>
        <w:rPr>
          <w:rFonts w:ascii="Times New Roman" w:eastAsia="Times New Roman" w:hAnsi="Times New Roman" w:cs="Times New Roman"/>
          <w:b/>
          <w:kern w:val="2"/>
        </w:rPr>
      </w:pPr>
      <w:bookmarkStart w:id="0" w:name="TOC_Chap1132"/>
      <w:r w:rsidRPr="00074A31">
        <w:rPr>
          <w:rFonts w:ascii="Times New Roman" w:eastAsia="Times New Roman" w:hAnsi="Times New Roman" w:cs="Times New Roman"/>
          <w:b/>
          <w:kern w:val="2"/>
        </w:rPr>
        <w:t>Chapter 49.</w:t>
      </w:r>
      <w:bookmarkEnd w:id="0"/>
      <w:r w:rsidRPr="00074A31">
        <w:rPr>
          <w:rFonts w:ascii="Times New Roman" w:eastAsia="Times New Roman" w:hAnsi="Times New Roman" w:cs="Times New Roman"/>
          <w:b/>
          <w:kern w:val="2"/>
        </w:rPr>
        <w:t xml:space="preserve"> </w:t>
      </w:r>
      <w:bookmarkStart w:id="1" w:name="TOCT_Chap1132"/>
      <w:r w:rsidRPr="00074A31">
        <w:rPr>
          <w:rFonts w:ascii="Times New Roman" w:eastAsia="Times New Roman" w:hAnsi="Times New Roman" w:cs="Times New Roman"/>
          <w:b/>
          <w:kern w:val="2"/>
        </w:rPr>
        <w:t>Lists of Hazardous Wastes</w:t>
      </w:r>
      <w:bookmarkEnd w:id="1"/>
    </w:p>
    <w:p w14:paraId="267FEFDC" w14:textId="77777777" w:rsidR="00074A31" w:rsidRPr="00074A31" w:rsidRDefault="00074A31" w:rsidP="00074A31">
      <w:pPr>
        <w:rPr>
          <w:rFonts w:ascii="Times New Roman" w:eastAsia="Times New Roman" w:hAnsi="Times New Roman" w:cs="Times New Roman"/>
          <w:kern w:val="2"/>
        </w:rPr>
      </w:pPr>
    </w:p>
    <w:p w14:paraId="1521A00B" w14:textId="77777777" w:rsidR="00074A31" w:rsidRPr="00074A31" w:rsidRDefault="00074A31" w:rsidP="00074A31">
      <w:pPr>
        <w:rPr>
          <w:rFonts w:ascii="Times New Roman" w:eastAsia="Times New Roman" w:hAnsi="Times New Roman" w:cs="Times New Roman"/>
          <w:kern w:val="2"/>
        </w:rPr>
      </w:pPr>
      <w:r w:rsidRPr="00074A31">
        <w:rPr>
          <w:rFonts w:ascii="Times New Roman" w:eastAsia="Times New Roman" w:hAnsi="Times New Roman" w:cs="Times New Roman"/>
          <w:kern w:val="2"/>
        </w:rPr>
        <w:t>[Editor</w:t>
      </w:r>
      <w:r w:rsidRPr="00074A31">
        <w:rPr>
          <w:rFonts w:ascii="Times New Roman" w:eastAsia="Times New Roman" w:hAnsi="Times New Roman" w:cs="Times New Roman" w:hint="eastAsia"/>
          <w:kern w:val="2"/>
        </w:rPr>
        <w:t>’</w:t>
      </w:r>
      <w:r w:rsidRPr="00074A31">
        <w:rPr>
          <w:rFonts w:ascii="Times New Roman" w:eastAsia="Times New Roman" w:hAnsi="Times New Roman" w:cs="Times New Roman"/>
          <w:kern w:val="2"/>
        </w:rPr>
        <w:t>s Note: Chapter 49 is divided into two Sections: category I hazardous wastes, which consist of hazardous wastes from nonspecific and specific sources (F and K wastes), acute hazardous wastes (P wastes), and toxic wastes (U wastes) (LAC 33:V.4901); and category II hazardous wastes, which consist of wastes that are ignitable, corrosive, reactive, or toxic (LAC 33:V.4903).]</w:t>
      </w:r>
    </w:p>
    <w:p w14:paraId="460586A9" w14:textId="77777777" w:rsidR="00074A31" w:rsidRPr="00074A31" w:rsidRDefault="00074A31" w:rsidP="00074A31">
      <w:pPr>
        <w:rPr>
          <w:rFonts w:ascii="Times New Roman" w:eastAsia="Times New Roman" w:hAnsi="Times New Roman" w:cs="Times New Roman"/>
          <w:kern w:val="2"/>
        </w:rPr>
      </w:pPr>
    </w:p>
    <w:p w14:paraId="5D0BD1DE" w14:textId="77777777" w:rsidR="00074A31" w:rsidRPr="00074A31" w:rsidRDefault="00074A31" w:rsidP="00074A31">
      <w:pPr>
        <w:rPr>
          <w:rFonts w:ascii="Times New Roman" w:eastAsia="Times New Roman" w:hAnsi="Times New Roman" w:cs="Times New Roman"/>
          <w:b/>
          <w:kern w:val="2"/>
        </w:rPr>
      </w:pPr>
      <w:bookmarkStart w:id="2" w:name="TOC_Sect1854"/>
      <w:r w:rsidRPr="00074A31">
        <w:rPr>
          <w:rFonts w:ascii="Times New Roman" w:eastAsia="Times New Roman" w:hAnsi="Times New Roman" w:cs="Times New Roman"/>
          <w:b/>
          <w:kern w:val="2"/>
        </w:rPr>
        <w:t>§4999.</w:t>
      </w:r>
      <w:r w:rsidRPr="00074A31">
        <w:rPr>
          <w:rFonts w:ascii="Times New Roman" w:eastAsia="Times New Roman" w:hAnsi="Times New Roman" w:cs="Times New Roman"/>
          <w:b/>
          <w:kern w:val="2"/>
        </w:rPr>
        <w:tab/>
        <w:t>Appendices—Appendix A, B, C, D, and E</w:t>
      </w:r>
      <w:bookmarkEnd w:id="2"/>
    </w:p>
    <w:p w14:paraId="297F0EA3" w14:textId="77777777" w:rsidR="00074A31" w:rsidRPr="00074A31" w:rsidRDefault="00074A31" w:rsidP="00074A31">
      <w:pPr>
        <w:tabs>
          <w:tab w:val="left" w:pos="3960"/>
        </w:tabs>
        <w:spacing w:line="480" w:lineRule="auto"/>
        <w:rPr>
          <w:rFonts w:ascii="Times New Roman" w:eastAsia="Times New Roman" w:hAnsi="Times New Roman" w:cs="Times New Roman"/>
          <w:bCs/>
        </w:rPr>
      </w:pPr>
    </w:p>
    <w:p w14:paraId="0A6146A7" w14:textId="77777777" w:rsidR="00074A31" w:rsidRPr="00074A31" w:rsidRDefault="00074A31" w:rsidP="00074A31">
      <w:pPr>
        <w:tabs>
          <w:tab w:val="left" w:pos="3960"/>
        </w:tabs>
        <w:spacing w:line="480" w:lineRule="auto"/>
        <w:rPr>
          <w:rFonts w:ascii="Times New Roman" w:eastAsia="Times New Roman" w:hAnsi="Times New Roman" w:cs="Times New Roman"/>
          <w:bCs/>
        </w:rPr>
      </w:pPr>
      <w:r w:rsidRPr="00074A31">
        <w:rPr>
          <w:rFonts w:ascii="Times New Roman" w:eastAsia="Times New Roman" w:hAnsi="Times New Roman" w:cs="Times New Roman"/>
          <w:bCs/>
        </w:rPr>
        <w:t xml:space="preserve">Appendix A. </w:t>
      </w:r>
      <w:r w:rsidRPr="00074A31">
        <w:rPr>
          <w:rFonts w:ascii="Calibri" w:eastAsia="Calibri" w:hAnsi="Calibri" w:cs="Times New Roman"/>
          <w:bCs/>
        </w:rPr>
        <w:t>—</w:t>
      </w:r>
      <w:r w:rsidRPr="00074A31">
        <w:rPr>
          <w:rFonts w:ascii="Times New Roman" w:eastAsia="Times New Roman" w:hAnsi="Times New Roman" w:cs="Times New Roman"/>
          <w:bCs/>
        </w:rPr>
        <w:t xml:space="preserve"> Appendix D.</w:t>
      </w:r>
      <w:r w:rsidRPr="00074A31">
        <w:rPr>
          <w:rFonts w:ascii="Times New Roman" w:eastAsia="Times New Roman" w:hAnsi="Times New Roman" w:cs="Times New Roman"/>
          <w:bCs/>
        </w:rPr>
        <w:tab/>
        <w:t>…</w:t>
      </w:r>
    </w:p>
    <w:p w14:paraId="50E03A6D" w14:textId="77777777" w:rsidR="00074A31" w:rsidRPr="00074A31" w:rsidRDefault="00074A31" w:rsidP="00074A31">
      <w:pPr>
        <w:tabs>
          <w:tab w:val="left" w:pos="720"/>
        </w:tabs>
        <w:spacing w:after="160" w:line="480" w:lineRule="auto"/>
        <w:jc w:val="center"/>
        <w:rPr>
          <w:rFonts w:ascii="Calibri" w:eastAsia="Calibri" w:hAnsi="Calibri" w:cs="Times New Roman"/>
          <w:bCs/>
          <w:sz w:val="22"/>
        </w:rPr>
      </w:pPr>
      <w:r w:rsidRPr="00074A31">
        <w:rPr>
          <w:rFonts w:ascii="Calibri" w:eastAsia="Calibri" w:hAnsi="Calibri" w:cs="Times New Roman"/>
          <w:bCs/>
          <w:sz w:val="22"/>
        </w:rPr>
        <w:t>* * *</w:t>
      </w:r>
    </w:p>
    <w:p w14:paraId="452E458F" w14:textId="77777777" w:rsidR="00074A31" w:rsidRPr="00074A31" w:rsidRDefault="00074A31" w:rsidP="00074A31">
      <w:pPr>
        <w:jc w:val="both"/>
        <w:rPr>
          <w:rFonts w:ascii="Times New Roman" w:eastAsia="Times New Roman" w:hAnsi="Times New Roman" w:cs="Times New Roman"/>
          <w:kern w:val="2"/>
        </w:rPr>
      </w:pPr>
      <w:r w:rsidRPr="00074A31">
        <w:rPr>
          <w:rFonts w:ascii="Times New Roman" w:eastAsia="Times New Roman" w:hAnsi="Times New Roman" w:cs="Times New Roman"/>
          <w:kern w:val="2"/>
        </w:rPr>
        <w:t>Appendix E.  Wastes Excluded under LAC 33:V.105.M</w:t>
      </w:r>
    </w:p>
    <w:p w14:paraId="1B2F5040" w14:textId="77777777" w:rsidR="00074A31" w:rsidRPr="00074A31" w:rsidRDefault="00074A31" w:rsidP="00074A31">
      <w:pPr>
        <w:jc w:val="center"/>
        <w:rPr>
          <w:rFonts w:ascii="Times New Roman" w:eastAsia="Times New Roman" w:hAnsi="Times New Roman" w:cs="Times New Roman"/>
          <w:b/>
          <w:kern w:val="2"/>
        </w:rPr>
      </w:pPr>
    </w:p>
    <w:p w14:paraId="01265DCD" w14:textId="77777777" w:rsidR="00074A31" w:rsidRPr="00074A31" w:rsidRDefault="00074A31" w:rsidP="00074A31">
      <w:pPr>
        <w:rPr>
          <w:rFonts w:ascii="Times New Roman" w:eastAsia="Times New Roman" w:hAnsi="Times New Roman" w:cs="Times New Roman"/>
          <w:kern w:val="2"/>
        </w:rPr>
      </w:pPr>
      <w:r w:rsidRPr="00074A31">
        <w:rPr>
          <w:rFonts w:ascii="Times New Roman" w:eastAsia="Times New Roman" w:hAnsi="Times New Roman" w:cs="Times New Roman"/>
          <w:b/>
          <w:kern w:val="2"/>
        </w:rPr>
        <w:tab/>
      </w:r>
      <w:r w:rsidRPr="00074A31">
        <w:rPr>
          <w:rFonts w:ascii="Times New Roman" w:eastAsia="Times New Roman" w:hAnsi="Times New Roman" w:cs="Times New Roman"/>
          <w:kern w:val="2"/>
        </w:rPr>
        <w:t xml:space="preserve">A. </w:t>
      </w:r>
      <w:r w:rsidRPr="00074A31">
        <w:rPr>
          <w:rFonts w:ascii="Times New Roman" w:eastAsia="Times New Roman" w:hAnsi="Times New Roman" w:cs="Times New Roman"/>
          <w:bCs/>
          <w:kern w:val="2"/>
        </w:rPr>
        <w:t>—</w:t>
      </w:r>
      <w:r w:rsidRPr="00074A31">
        <w:rPr>
          <w:rFonts w:ascii="Times New Roman" w:eastAsia="Times New Roman" w:hAnsi="Times New Roman" w:cs="Times New Roman"/>
          <w:kern w:val="2"/>
        </w:rPr>
        <w:t xml:space="preserve"> B.3.b.  …</w:t>
      </w:r>
    </w:p>
    <w:p w14:paraId="37E93DF1" w14:textId="77777777" w:rsidR="00074A31" w:rsidRPr="00074A31" w:rsidRDefault="00074A31" w:rsidP="00074A31">
      <w:pPr>
        <w:rPr>
          <w:rFonts w:ascii="Times New Roman" w:eastAsia="Times New Roman" w:hAnsi="Times New Roman" w:cs="Times New Roman"/>
          <w:kern w:val="2"/>
        </w:rPr>
      </w:pPr>
    </w:p>
    <w:tbl>
      <w:tblPr>
        <w:tblW w:w="6945"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45"/>
      </w:tblGrid>
      <w:tr w:rsidR="00074A31" w:rsidRPr="00074A31" w14:paraId="59553502" w14:textId="77777777" w:rsidTr="00A54079">
        <w:trPr>
          <w:cantSplit/>
          <w:trHeight w:val="420"/>
          <w:tblHeader/>
          <w:jc w:val="center"/>
        </w:trPr>
        <w:tc>
          <w:tcPr>
            <w:tcW w:w="6945" w:type="dxa"/>
            <w:shd w:val="clear" w:color="auto" w:fill="auto"/>
            <w:vAlign w:val="center"/>
          </w:tcPr>
          <w:p w14:paraId="09FA106F" w14:textId="77777777" w:rsidR="00074A31" w:rsidRPr="00074A31" w:rsidRDefault="00074A31" w:rsidP="00074A31">
            <w:pPr>
              <w:widowControl w:val="0"/>
              <w:tabs>
                <w:tab w:val="left" w:pos="748"/>
                <w:tab w:val="left" w:pos="1496"/>
                <w:tab w:val="left" w:pos="2244"/>
                <w:tab w:val="left" w:pos="2992"/>
                <w:tab w:val="left" w:pos="3553"/>
                <w:tab w:val="left" w:pos="4301"/>
              </w:tabs>
              <w:spacing w:line="480" w:lineRule="auto"/>
              <w:ind w:right="14"/>
              <w:jc w:val="center"/>
              <w:rPr>
                <w:rFonts w:ascii="Times New Roman" w:eastAsia="Calibri" w:hAnsi="Times New Roman" w:cs="Times New Roman"/>
                <w:kern w:val="2"/>
              </w:rPr>
            </w:pPr>
            <w:r w:rsidRPr="00074A31">
              <w:rPr>
                <w:rFonts w:ascii="Times New Roman" w:eastAsia="Calibri" w:hAnsi="Times New Roman" w:cs="Times New Roman"/>
                <w:kern w:val="2"/>
              </w:rPr>
              <w:t xml:space="preserve">Table 1 </w:t>
            </w:r>
            <w:r w:rsidRPr="00074A31">
              <w:rPr>
                <w:rFonts w:ascii="Times New Roman" w:eastAsia="Calibri" w:hAnsi="Times New Roman" w:cs="Times New Roman"/>
                <w:bCs/>
                <w:kern w:val="2"/>
              </w:rPr>
              <w:t>–</w:t>
            </w:r>
            <w:r w:rsidRPr="00074A31">
              <w:rPr>
                <w:rFonts w:ascii="Times New Roman" w:eastAsia="Calibri" w:hAnsi="Times New Roman" w:cs="Times New Roman"/>
                <w:kern w:val="2"/>
              </w:rPr>
              <w:t xml:space="preserve"> Wastes Excluded</w:t>
            </w:r>
          </w:p>
        </w:tc>
      </w:tr>
      <w:tr w:rsidR="00074A31" w:rsidRPr="00074A31" w14:paraId="7D608BA2" w14:textId="77777777" w:rsidTr="00A54079">
        <w:trPr>
          <w:trHeight w:val="721"/>
          <w:tblHeader/>
          <w:jc w:val="center"/>
        </w:trPr>
        <w:tc>
          <w:tcPr>
            <w:tcW w:w="6945" w:type="dxa"/>
            <w:shd w:val="clear" w:color="auto" w:fill="auto"/>
          </w:tcPr>
          <w:p w14:paraId="34DF80E4" w14:textId="77777777" w:rsidR="00074A31" w:rsidRPr="00074A31" w:rsidRDefault="00074A31" w:rsidP="00074A31">
            <w:pPr>
              <w:widowControl w:val="0"/>
              <w:spacing w:line="480" w:lineRule="auto"/>
              <w:jc w:val="center"/>
              <w:rPr>
                <w:rFonts w:ascii="Times New Roman" w:eastAsia="Calibri" w:hAnsi="Times New Roman" w:cs="Times New Roman"/>
                <w:kern w:val="2"/>
              </w:rPr>
            </w:pPr>
            <w:r w:rsidRPr="00074A31">
              <w:rPr>
                <w:rFonts w:ascii="Times New Roman" w:eastAsia="Calibri" w:hAnsi="Times New Roman" w:cs="Times New Roman"/>
              </w:rPr>
              <w:t>BFI Waste Systems of Louisiana LLC, Colonial Landfill, Sorrento, LA</w:t>
            </w:r>
          </w:p>
        </w:tc>
      </w:tr>
      <w:tr w:rsidR="00074A31" w:rsidRPr="00074A31" w14:paraId="6AB86E0A" w14:textId="77777777" w:rsidTr="00A54079">
        <w:trPr>
          <w:trHeight w:val="413"/>
          <w:jc w:val="center"/>
        </w:trPr>
        <w:tc>
          <w:tcPr>
            <w:tcW w:w="6945" w:type="dxa"/>
          </w:tcPr>
          <w:p w14:paraId="7BD9B9C3" w14:textId="77777777" w:rsidR="00074A31" w:rsidRPr="00074A31" w:rsidRDefault="00074A31" w:rsidP="00074A31">
            <w:pPr>
              <w:widowControl w:val="0"/>
              <w:spacing w:line="480" w:lineRule="auto"/>
              <w:jc w:val="center"/>
              <w:rPr>
                <w:rFonts w:ascii="Times New Roman" w:eastAsia="Calibri" w:hAnsi="Times New Roman" w:cs="Times New Roman"/>
                <w:kern w:val="2"/>
              </w:rPr>
            </w:pPr>
            <w:r w:rsidRPr="00074A31">
              <w:rPr>
                <w:rFonts w:ascii="Times New Roman" w:eastAsia="Calibri" w:hAnsi="Times New Roman" w:cs="Times New Roman"/>
                <w:kern w:val="2"/>
              </w:rPr>
              <w:t>* * *</w:t>
            </w:r>
          </w:p>
        </w:tc>
      </w:tr>
    </w:tbl>
    <w:p w14:paraId="40626DBE" w14:textId="77777777" w:rsidR="00074A31" w:rsidRPr="00074A31" w:rsidRDefault="00074A31" w:rsidP="00074A31">
      <w:pPr>
        <w:jc w:val="both"/>
        <w:rPr>
          <w:rFonts w:ascii="Times New Roman" w:eastAsia="Times New Roman" w:hAnsi="Times New Roman" w:cs="Times New Roman"/>
          <w:kern w:val="2"/>
        </w:rPr>
      </w:pPr>
    </w:p>
    <w:tbl>
      <w:tblPr>
        <w:tblW w:w="6935"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35"/>
      </w:tblGrid>
      <w:tr w:rsidR="00074A31" w:rsidRPr="00074A31" w14:paraId="271763B5" w14:textId="77777777" w:rsidTr="00A54079">
        <w:trPr>
          <w:cantSplit/>
          <w:trHeight w:val="197"/>
          <w:tblHeader/>
          <w:jc w:val="center"/>
        </w:trPr>
        <w:tc>
          <w:tcPr>
            <w:tcW w:w="6935" w:type="dxa"/>
            <w:shd w:val="clear" w:color="auto" w:fill="auto"/>
            <w:vAlign w:val="center"/>
          </w:tcPr>
          <w:p w14:paraId="1B18F262" w14:textId="77777777" w:rsidR="00074A31" w:rsidRPr="00074A31" w:rsidRDefault="00074A31" w:rsidP="00074A31">
            <w:pPr>
              <w:widowControl w:val="0"/>
              <w:tabs>
                <w:tab w:val="left" w:pos="748"/>
                <w:tab w:val="left" w:pos="1496"/>
                <w:tab w:val="left" w:pos="2244"/>
                <w:tab w:val="left" w:pos="2992"/>
                <w:tab w:val="left" w:pos="3553"/>
                <w:tab w:val="left" w:pos="4301"/>
              </w:tabs>
              <w:spacing w:line="480" w:lineRule="auto"/>
              <w:ind w:right="14"/>
              <w:jc w:val="center"/>
              <w:rPr>
                <w:rFonts w:ascii="Times New Roman" w:eastAsia="Calibri" w:hAnsi="Times New Roman" w:cs="Times New Roman"/>
                <w:kern w:val="2"/>
              </w:rPr>
            </w:pPr>
            <w:r w:rsidRPr="00074A31">
              <w:rPr>
                <w:rFonts w:ascii="Times New Roman" w:eastAsia="Calibri" w:hAnsi="Times New Roman" w:cs="Times New Roman"/>
                <w:kern w:val="2"/>
              </w:rPr>
              <w:t xml:space="preserve">Table 1 </w:t>
            </w:r>
            <w:r w:rsidRPr="00074A31">
              <w:rPr>
                <w:rFonts w:ascii="Times New Roman" w:eastAsia="Calibri" w:hAnsi="Times New Roman" w:cs="Times New Roman"/>
                <w:bCs/>
                <w:kern w:val="2"/>
              </w:rPr>
              <w:t>–</w:t>
            </w:r>
            <w:r w:rsidRPr="00074A31">
              <w:rPr>
                <w:rFonts w:ascii="Times New Roman" w:eastAsia="Calibri" w:hAnsi="Times New Roman" w:cs="Times New Roman"/>
                <w:kern w:val="2"/>
              </w:rPr>
              <w:t xml:space="preserve"> Wastes Excluded</w:t>
            </w:r>
          </w:p>
        </w:tc>
      </w:tr>
      <w:tr w:rsidR="00074A31" w:rsidRPr="00074A31" w14:paraId="3804C08F" w14:textId="77777777" w:rsidTr="00A54079">
        <w:trPr>
          <w:cantSplit/>
          <w:trHeight w:val="170"/>
          <w:tblHeader/>
          <w:jc w:val="center"/>
          <w:hidden/>
        </w:trPr>
        <w:tc>
          <w:tcPr>
            <w:tcW w:w="6935" w:type="dxa"/>
            <w:shd w:val="clear" w:color="auto" w:fill="auto"/>
          </w:tcPr>
          <w:p w14:paraId="4758E2E2" w14:textId="77777777" w:rsidR="00074A31" w:rsidRPr="00074A31" w:rsidRDefault="00074A31" w:rsidP="00074A31">
            <w:pPr>
              <w:widowControl w:val="0"/>
              <w:tabs>
                <w:tab w:val="left" w:pos="748"/>
                <w:tab w:val="left" w:pos="1496"/>
                <w:tab w:val="left" w:pos="2244"/>
                <w:tab w:val="left" w:pos="2992"/>
                <w:tab w:val="left" w:pos="3553"/>
                <w:tab w:val="left" w:pos="4301"/>
              </w:tabs>
              <w:spacing w:line="480" w:lineRule="auto"/>
              <w:ind w:right="14"/>
              <w:jc w:val="center"/>
              <w:outlineLvl w:val="0"/>
              <w:rPr>
                <w:rFonts w:ascii="Times New Roman" w:eastAsia="Times New Roman" w:hAnsi="Times New Roman" w:cs="Times New Roman"/>
                <w:bCs/>
              </w:rPr>
            </w:pPr>
            <w:r w:rsidRPr="00074A31">
              <w:rPr>
                <w:rFonts w:ascii="Times New Roman" w:eastAsia="Times New Roman" w:hAnsi="Times New Roman" w:cs="Times New Roman"/>
                <w:vanish/>
              </w:rPr>
              <w:t xml:space="preserve">Denka Performance Elastomer LLC, LaPlace, LA </w:t>
            </w:r>
            <w:r w:rsidRPr="00074A31">
              <w:rPr>
                <w:rFonts w:ascii="Times New Roman" w:eastAsia="Times New Roman" w:hAnsi="Times New Roman" w:cs="Times New Roman"/>
              </w:rPr>
              <w:t>Denka Performance Elastomer LLC, LaPlace LA</w:t>
            </w:r>
            <w:r w:rsidRPr="00074A31">
              <w:rPr>
                <w:rFonts w:ascii="Times New Roman" w:eastAsia="Times New Roman" w:hAnsi="Times New Roman" w:cs="Times New Roman"/>
                <w:vanish/>
              </w:rPr>
              <w:t>Denka Performance Elastomer LLC, LaPlace, LA Denka Performance Elastomer LLC, LaPlace, LA Denka Performance Elastomer LLC, LaPlace, LA</w:t>
            </w:r>
          </w:p>
        </w:tc>
      </w:tr>
      <w:tr w:rsidR="00074A31" w:rsidRPr="00074A31" w14:paraId="489B5976" w14:textId="77777777" w:rsidTr="00A54079">
        <w:trPr>
          <w:jc w:val="center"/>
        </w:trPr>
        <w:tc>
          <w:tcPr>
            <w:tcW w:w="6935" w:type="dxa"/>
          </w:tcPr>
          <w:p w14:paraId="295BFA3A" w14:textId="77777777" w:rsidR="00074A31" w:rsidRPr="00074A31" w:rsidRDefault="00074A31" w:rsidP="00074A31">
            <w:pPr>
              <w:widowControl w:val="0"/>
              <w:spacing w:line="480" w:lineRule="auto"/>
              <w:jc w:val="center"/>
              <w:rPr>
                <w:rFonts w:ascii="Times New Roman" w:eastAsia="Calibri" w:hAnsi="Times New Roman" w:cs="Times New Roman"/>
              </w:rPr>
            </w:pPr>
            <w:r w:rsidRPr="00074A31">
              <w:rPr>
                <w:rFonts w:ascii="Times New Roman" w:eastAsia="Calibri" w:hAnsi="Times New Roman" w:cs="Times New Roman"/>
              </w:rPr>
              <w:t>* * *</w:t>
            </w:r>
          </w:p>
        </w:tc>
      </w:tr>
    </w:tbl>
    <w:p w14:paraId="0AC3EE45" w14:textId="77777777" w:rsidR="00074A31" w:rsidRPr="00074A31" w:rsidRDefault="00074A31" w:rsidP="00074A31">
      <w:pPr>
        <w:jc w:val="both"/>
        <w:rPr>
          <w:rFonts w:ascii="Times New Roman" w:eastAsia="Times New Roman" w:hAnsi="Times New Roman" w:cs="Times New Roma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7020"/>
      </w:tblGrid>
      <w:tr w:rsidR="00074A31" w:rsidRPr="00074A31" w14:paraId="0A20AAD4" w14:textId="77777777" w:rsidTr="00A54079">
        <w:trPr>
          <w:tblHeader/>
          <w:jc w:val="center"/>
        </w:trPr>
        <w:tc>
          <w:tcPr>
            <w:tcW w:w="7020" w:type="dxa"/>
            <w:shd w:val="clear" w:color="auto" w:fill="auto"/>
          </w:tcPr>
          <w:p w14:paraId="19987DD9"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bCs/>
                <w:kern w:val="2"/>
              </w:rPr>
              <w:t>Table 1 – Wastes Excluded</w:t>
            </w:r>
          </w:p>
        </w:tc>
      </w:tr>
      <w:tr w:rsidR="00074A31" w:rsidRPr="00074A31" w14:paraId="7A6A0F03" w14:textId="77777777" w:rsidTr="00A54079">
        <w:trPr>
          <w:tblHeader/>
          <w:jc w:val="center"/>
        </w:trPr>
        <w:tc>
          <w:tcPr>
            <w:tcW w:w="7020" w:type="dxa"/>
            <w:shd w:val="clear" w:color="auto" w:fill="auto"/>
          </w:tcPr>
          <w:p w14:paraId="224634F3"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rPr>
              <w:t>Lyondell Chemical Company, Lake Charles, LA</w:t>
            </w:r>
          </w:p>
        </w:tc>
      </w:tr>
      <w:tr w:rsidR="00074A31" w:rsidRPr="00074A31" w14:paraId="0909A123" w14:textId="77777777" w:rsidTr="00A54079">
        <w:trPr>
          <w:jc w:val="center"/>
        </w:trPr>
        <w:tc>
          <w:tcPr>
            <w:tcW w:w="7020" w:type="dxa"/>
            <w:shd w:val="clear" w:color="auto" w:fill="auto"/>
          </w:tcPr>
          <w:p w14:paraId="51CEE3E5" w14:textId="77777777" w:rsidR="00074A31" w:rsidRPr="00074A31" w:rsidRDefault="00074A31" w:rsidP="00074A31">
            <w:pPr>
              <w:widowControl w:val="0"/>
              <w:spacing w:line="480" w:lineRule="auto"/>
              <w:jc w:val="center"/>
              <w:rPr>
                <w:rFonts w:ascii="Times New Roman" w:eastAsia="Times New Roman" w:hAnsi="Times New Roman" w:cs="Times New Roman"/>
              </w:rPr>
            </w:pPr>
            <w:r w:rsidRPr="00074A31">
              <w:rPr>
                <w:rFonts w:ascii="Times New Roman" w:eastAsia="Times New Roman" w:hAnsi="Times New Roman" w:cs="Times New Roman"/>
              </w:rPr>
              <w:t>* * *</w:t>
            </w:r>
          </w:p>
        </w:tc>
      </w:tr>
    </w:tbl>
    <w:p w14:paraId="51776021" w14:textId="77777777" w:rsidR="00074A31" w:rsidRPr="00074A31" w:rsidRDefault="00074A31" w:rsidP="00074A31">
      <w:pPr>
        <w:spacing w:line="480" w:lineRule="auto"/>
        <w:jc w:val="both"/>
        <w:rPr>
          <w:rFonts w:ascii="Times New Roman" w:eastAsia="Times New Roman" w:hAnsi="Times New Roman" w:cs="Times New Roman"/>
        </w:rPr>
      </w:pPr>
    </w:p>
    <w:tbl>
      <w:tblPr>
        <w:tblW w:w="6999"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99"/>
      </w:tblGrid>
      <w:tr w:rsidR="00074A31" w:rsidRPr="00074A31" w14:paraId="4EF7E353" w14:textId="77777777" w:rsidTr="00A54079">
        <w:trPr>
          <w:cantSplit/>
          <w:trHeight w:val="170"/>
          <w:tblHeader/>
          <w:jc w:val="center"/>
        </w:trPr>
        <w:tc>
          <w:tcPr>
            <w:tcW w:w="6999" w:type="dxa"/>
            <w:shd w:val="clear" w:color="auto" w:fill="auto"/>
            <w:vAlign w:val="center"/>
          </w:tcPr>
          <w:p w14:paraId="6BAFB677" w14:textId="77777777" w:rsidR="00074A31" w:rsidRPr="00074A31" w:rsidRDefault="00074A31" w:rsidP="00074A31">
            <w:pPr>
              <w:widowControl w:val="0"/>
              <w:tabs>
                <w:tab w:val="left" w:pos="748"/>
                <w:tab w:val="left" w:pos="1496"/>
                <w:tab w:val="left" w:pos="2244"/>
                <w:tab w:val="left" w:pos="2992"/>
                <w:tab w:val="left" w:pos="3553"/>
                <w:tab w:val="left" w:pos="4301"/>
              </w:tabs>
              <w:spacing w:line="480" w:lineRule="auto"/>
              <w:ind w:right="14"/>
              <w:jc w:val="center"/>
              <w:rPr>
                <w:rFonts w:ascii="Times New Roman" w:eastAsia="Calibri" w:hAnsi="Times New Roman" w:cs="Times New Roman"/>
                <w:kern w:val="2"/>
              </w:rPr>
            </w:pPr>
            <w:r w:rsidRPr="00074A31">
              <w:rPr>
                <w:rFonts w:ascii="Times New Roman" w:eastAsia="Calibri" w:hAnsi="Times New Roman" w:cs="Times New Roman"/>
                <w:kern w:val="2"/>
              </w:rPr>
              <w:t xml:space="preserve">Table 1 </w:t>
            </w:r>
            <w:r w:rsidRPr="00074A31">
              <w:rPr>
                <w:rFonts w:ascii="Times New Roman" w:eastAsia="Calibri" w:hAnsi="Times New Roman" w:cs="Times New Roman"/>
                <w:bCs/>
                <w:kern w:val="2"/>
              </w:rPr>
              <w:t>–</w:t>
            </w:r>
            <w:r w:rsidRPr="00074A31">
              <w:rPr>
                <w:rFonts w:ascii="Times New Roman" w:eastAsia="Calibri" w:hAnsi="Times New Roman" w:cs="Times New Roman"/>
                <w:kern w:val="2"/>
              </w:rPr>
              <w:t xml:space="preserve"> Wastes Excluded</w:t>
            </w:r>
          </w:p>
        </w:tc>
      </w:tr>
      <w:tr w:rsidR="00074A31" w:rsidRPr="00074A31" w14:paraId="12E9B389" w14:textId="77777777" w:rsidTr="00A54079">
        <w:trPr>
          <w:trHeight w:val="152"/>
          <w:tblHeader/>
          <w:jc w:val="center"/>
        </w:trPr>
        <w:tc>
          <w:tcPr>
            <w:tcW w:w="6999" w:type="dxa"/>
            <w:shd w:val="clear" w:color="auto" w:fill="auto"/>
          </w:tcPr>
          <w:p w14:paraId="16D8B6CE" w14:textId="77777777" w:rsidR="00074A31" w:rsidRPr="00074A31" w:rsidRDefault="00074A31" w:rsidP="00074A31">
            <w:pPr>
              <w:widowControl w:val="0"/>
              <w:tabs>
                <w:tab w:val="left" w:pos="143"/>
                <w:tab w:val="left" w:pos="323"/>
                <w:tab w:val="left" w:pos="683"/>
                <w:tab w:val="left" w:pos="2843"/>
                <w:tab w:val="left" w:pos="3563"/>
                <w:tab w:val="left" w:pos="4283"/>
                <w:tab w:val="left" w:pos="5003"/>
              </w:tabs>
              <w:spacing w:line="480" w:lineRule="auto"/>
              <w:jc w:val="center"/>
              <w:rPr>
                <w:rFonts w:ascii="Times New Roman" w:eastAsia="Calibri" w:hAnsi="Times New Roman" w:cs="Times New Roman"/>
                <w:bCs/>
              </w:rPr>
            </w:pPr>
            <w:r w:rsidRPr="00074A31">
              <w:rPr>
                <w:rFonts w:ascii="Times New Roman" w:eastAsia="Calibri" w:hAnsi="Times New Roman" w:cs="Times New Roman"/>
                <w:bCs/>
              </w:rPr>
              <w:t>Marathon Oil Co., Garyville, LA</w:t>
            </w:r>
          </w:p>
        </w:tc>
      </w:tr>
      <w:tr w:rsidR="00074A31" w:rsidRPr="00074A31" w14:paraId="57FED4FC" w14:textId="77777777" w:rsidTr="00A54079">
        <w:trPr>
          <w:jc w:val="center"/>
        </w:trPr>
        <w:tc>
          <w:tcPr>
            <w:tcW w:w="6999" w:type="dxa"/>
          </w:tcPr>
          <w:p w14:paraId="2A99592D" w14:textId="77777777" w:rsidR="00074A31" w:rsidRPr="00074A31" w:rsidRDefault="00074A31" w:rsidP="00074A31">
            <w:pPr>
              <w:widowControl w:val="0"/>
              <w:spacing w:line="480" w:lineRule="auto"/>
              <w:jc w:val="center"/>
              <w:rPr>
                <w:rFonts w:ascii="Times New Roman" w:eastAsia="Calibri" w:hAnsi="Times New Roman" w:cs="Times New Roman"/>
              </w:rPr>
            </w:pPr>
            <w:r w:rsidRPr="00074A31">
              <w:rPr>
                <w:rFonts w:ascii="Times New Roman" w:eastAsia="Calibri" w:hAnsi="Times New Roman" w:cs="Times New Roman"/>
              </w:rPr>
              <w:t>* * *</w:t>
            </w:r>
          </w:p>
        </w:tc>
      </w:tr>
    </w:tbl>
    <w:p w14:paraId="663DA5E1" w14:textId="77777777" w:rsidR="00074A31" w:rsidRPr="00074A31" w:rsidRDefault="00074A31" w:rsidP="00074A31">
      <w:pPr>
        <w:spacing w:line="480" w:lineRule="auto"/>
        <w:rPr>
          <w:rFonts w:ascii="Times New Roman" w:eastAsia="Calibri" w:hAnsi="Times New Roman" w:cs="Times New Roman"/>
        </w:rPr>
      </w:pPr>
    </w:p>
    <w:tbl>
      <w:tblPr>
        <w:tblW w:w="701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7018"/>
      </w:tblGrid>
      <w:tr w:rsidR="00074A31" w:rsidRPr="00074A31" w14:paraId="4CBC2C0B" w14:textId="77777777" w:rsidTr="00A54079">
        <w:trPr>
          <w:cantSplit/>
          <w:trHeight w:val="143"/>
          <w:tblHeader/>
          <w:jc w:val="center"/>
        </w:trPr>
        <w:tc>
          <w:tcPr>
            <w:tcW w:w="7018" w:type="dxa"/>
            <w:shd w:val="clear" w:color="auto" w:fill="auto"/>
            <w:vAlign w:val="center"/>
          </w:tcPr>
          <w:p w14:paraId="66119CE0" w14:textId="77777777" w:rsidR="00074A31" w:rsidRPr="00074A31" w:rsidRDefault="00074A31" w:rsidP="00074A31">
            <w:pPr>
              <w:widowControl w:val="0"/>
              <w:tabs>
                <w:tab w:val="left" w:pos="748"/>
                <w:tab w:val="left" w:pos="1496"/>
                <w:tab w:val="left" w:pos="2244"/>
                <w:tab w:val="left" w:pos="2992"/>
                <w:tab w:val="left" w:pos="3553"/>
                <w:tab w:val="left" w:pos="4301"/>
              </w:tabs>
              <w:spacing w:line="480" w:lineRule="auto"/>
              <w:ind w:right="14"/>
              <w:jc w:val="center"/>
              <w:rPr>
                <w:rFonts w:ascii="Times New Roman" w:eastAsia="Calibri" w:hAnsi="Times New Roman" w:cs="Times New Roman"/>
                <w:kern w:val="2"/>
              </w:rPr>
            </w:pPr>
            <w:r w:rsidRPr="00074A31">
              <w:rPr>
                <w:rFonts w:ascii="Times New Roman" w:eastAsia="Calibri" w:hAnsi="Times New Roman" w:cs="Times New Roman"/>
                <w:kern w:val="2"/>
              </w:rPr>
              <w:lastRenderedPageBreak/>
              <w:t xml:space="preserve">Table 1 </w:t>
            </w:r>
            <w:r w:rsidRPr="00074A31">
              <w:rPr>
                <w:rFonts w:ascii="Times New Roman" w:eastAsia="Calibri" w:hAnsi="Times New Roman" w:cs="Times New Roman"/>
                <w:bCs/>
                <w:kern w:val="2"/>
              </w:rPr>
              <w:t>–</w:t>
            </w:r>
            <w:r w:rsidRPr="00074A31">
              <w:rPr>
                <w:rFonts w:ascii="Times New Roman" w:eastAsia="Calibri" w:hAnsi="Times New Roman" w:cs="Times New Roman"/>
                <w:kern w:val="2"/>
              </w:rPr>
              <w:t xml:space="preserve"> Wastes Excluded</w:t>
            </w:r>
          </w:p>
        </w:tc>
      </w:tr>
      <w:tr w:rsidR="00074A31" w:rsidRPr="00074A31" w14:paraId="18265FAA" w14:textId="77777777" w:rsidTr="00A54079">
        <w:trPr>
          <w:trHeight w:val="143"/>
          <w:tblHeader/>
          <w:jc w:val="center"/>
        </w:trPr>
        <w:tc>
          <w:tcPr>
            <w:tcW w:w="7018" w:type="dxa"/>
            <w:shd w:val="clear" w:color="auto" w:fill="auto"/>
          </w:tcPr>
          <w:p w14:paraId="69F286B3"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bCs/>
              </w:rPr>
              <w:t>Motiva Enterprises LLC, Norco, LA</w:t>
            </w:r>
          </w:p>
        </w:tc>
      </w:tr>
      <w:tr w:rsidR="00074A31" w:rsidRPr="00074A31" w14:paraId="5044442E" w14:textId="77777777" w:rsidTr="00A54079">
        <w:trPr>
          <w:jc w:val="center"/>
        </w:trPr>
        <w:tc>
          <w:tcPr>
            <w:tcW w:w="7018" w:type="dxa"/>
          </w:tcPr>
          <w:p w14:paraId="1330C00C" w14:textId="77777777" w:rsidR="00074A31" w:rsidRPr="00074A31" w:rsidRDefault="00074A31" w:rsidP="00074A31">
            <w:pPr>
              <w:widowControl w:val="0"/>
              <w:spacing w:line="480" w:lineRule="auto"/>
              <w:jc w:val="center"/>
              <w:rPr>
                <w:rFonts w:ascii="Times New Roman" w:eastAsia="Calibri" w:hAnsi="Times New Roman" w:cs="Times New Roman"/>
                <w:kern w:val="2"/>
              </w:rPr>
            </w:pPr>
            <w:r w:rsidRPr="00074A31">
              <w:rPr>
                <w:rFonts w:ascii="Times New Roman" w:eastAsia="Calibri" w:hAnsi="Times New Roman" w:cs="Times New Roman"/>
                <w:kern w:val="2"/>
              </w:rPr>
              <w:t>* * *</w:t>
            </w:r>
          </w:p>
        </w:tc>
      </w:tr>
    </w:tbl>
    <w:p w14:paraId="65F87EE9" w14:textId="77777777" w:rsidR="00074A31" w:rsidRPr="00074A31" w:rsidRDefault="00074A31" w:rsidP="00074A31">
      <w:pPr>
        <w:spacing w:line="480" w:lineRule="auto"/>
        <w:rPr>
          <w:rFonts w:ascii="Times New Roman" w:eastAsia="Calibri" w:hAnsi="Times New Roman" w:cs="Times New Roman"/>
        </w:rPr>
      </w:pPr>
    </w:p>
    <w:tbl>
      <w:tblPr>
        <w:tblW w:w="0" w:type="auto"/>
        <w:tblInd w:w="127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E0E0E0"/>
        <w:tblLook w:val="01E0" w:firstRow="1" w:lastRow="1" w:firstColumn="1" w:lastColumn="1" w:noHBand="0" w:noVBand="0"/>
      </w:tblPr>
      <w:tblGrid>
        <w:gridCol w:w="7020"/>
      </w:tblGrid>
      <w:tr w:rsidR="00074A31" w:rsidRPr="00074A31" w14:paraId="1E0DD68B" w14:textId="77777777" w:rsidTr="00A54079">
        <w:trPr>
          <w:tblHeader/>
        </w:trPr>
        <w:tc>
          <w:tcPr>
            <w:tcW w:w="7020" w:type="dxa"/>
            <w:shd w:val="clear" w:color="auto" w:fill="auto"/>
          </w:tcPr>
          <w:p w14:paraId="0929A78F" w14:textId="77777777" w:rsidR="00074A31" w:rsidRPr="00074A31" w:rsidRDefault="00074A31" w:rsidP="00074A31">
            <w:pPr>
              <w:widowControl w:val="0"/>
              <w:spacing w:line="480" w:lineRule="auto"/>
              <w:ind w:left="-648"/>
              <w:jc w:val="center"/>
              <w:rPr>
                <w:rFonts w:ascii="Times New Roman" w:eastAsia="Calibri" w:hAnsi="Times New Roman" w:cs="Times New Roman"/>
                <w:bCs/>
                <w:kern w:val="2"/>
              </w:rPr>
            </w:pPr>
            <w:r w:rsidRPr="00074A31">
              <w:rPr>
                <w:rFonts w:ascii="Times New Roman" w:eastAsia="Calibri" w:hAnsi="Times New Roman" w:cs="Times New Roman"/>
                <w:kern w:val="2"/>
              </w:rPr>
              <w:t xml:space="preserve">Table 1 </w:t>
            </w:r>
            <w:r w:rsidRPr="00074A31">
              <w:rPr>
                <w:rFonts w:ascii="Times New Roman" w:eastAsia="Calibri" w:hAnsi="Times New Roman" w:cs="Times New Roman"/>
                <w:bCs/>
                <w:kern w:val="2"/>
              </w:rPr>
              <w:t>–</w:t>
            </w:r>
            <w:r w:rsidRPr="00074A31">
              <w:rPr>
                <w:rFonts w:ascii="Times New Roman" w:eastAsia="Calibri" w:hAnsi="Times New Roman" w:cs="Times New Roman"/>
                <w:kern w:val="2"/>
              </w:rPr>
              <w:t xml:space="preserve"> Wastes Excluded</w:t>
            </w:r>
          </w:p>
        </w:tc>
      </w:tr>
      <w:tr w:rsidR="00074A31" w:rsidRPr="00074A31" w14:paraId="6C0B5EB1" w14:textId="77777777" w:rsidTr="00A54079">
        <w:trPr>
          <w:tblHeader/>
        </w:trPr>
        <w:tc>
          <w:tcPr>
            <w:tcW w:w="7020" w:type="dxa"/>
            <w:shd w:val="clear" w:color="auto" w:fill="auto"/>
          </w:tcPr>
          <w:p w14:paraId="13EC51D0"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bCs/>
                <w:kern w:val="2"/>
              </w:rPr>
              <w:t>Syngenta Crop Protection, Inc., St. Gabriel, LA</w:t>
            </w:r>
          </w:p>
        </w:tc>
      </w:tr>
      <w:tr w:rsidR="00074A31" w:rsidRPr="00074A31" w14:paraId="31C9A194" w14:textId="77777777" w:rsidTr="00A54079">
        <w:tc>
          <w:tcPr>
            <w:tcW w:w="7020" w:type="dxa"/>
          </w:tcPr>
          <w:p w14:paraId="0B3CAD1B"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bCs/>
                <w:kern w:val="2"/>
              </w:rPr>
              <w:t>* * *</w:t>
            </w:r>
          </w:p>
        </w:tc>
      </w:tr>
    </w:tbl>
    <w:p w14:paraId="1F486A28" w14:textId="77777777" w:rsidR="00074A31" w:rsidRPr="00074A31" w:rsidRDefault="00074A31" w:rsidP="00074A31">
      <w:pPr>
        <w:spacing w:line="480" w:lineRule="auto"/>
        <w:rPr>
          <w:rFonts w:ascii="Times New Roman" w:eastAsia="Calibri" w:hAnsi="Times New Roman" w:cs="Times New Roma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95"/>
      </w:tblGrid>
      <w:tr w:rsidR="00074A31" w:rsidRPr="00074A31" w14:paraId="5738162B" w14:textId="77777777" w:rsidTr="00A54079">
        <w:trPr>
          <w:jc w:val="center"/>
        </w:trPr>
        <w:tc>
          <w:tcPr>
            <w:tcW w:w="7095" w:type="dxa"/>
            <w:shd w:val="clear" w:color="auto" w:fill="auto"/>
          </w:tcPr>
          <w:p w14:paraId="381D4DA2"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kern w:val="2"/>
              </w:rPr>
              <w:t>Table 2 – One-Time Wastes Excluded</w:t>
            </w:r>
          </w:p>
        </w:tc>
      </w:tr>
      <w:tr w:rsidR="00074A31" w:rsidRPr="00074A31" w14:paraId="1CF9F4FD" w14:textId="77777777" w:rsidTr="00A54079">
        <w:trPr>
          <w:jc w:val="center"/>
        </w:trPr>
        <w:tc>
          <w:tcPr>
            <w:tcW w:w="7095" w:type="dxa"/>
            <w:shd w:val="clear" w:color="auto" w:fill="auto"/>
          </w:tcPr>
          <w:p w14:paraId="1DB7530E"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bCs/>
                <w:kern w:val="2"/>
              </w:rPr>
              <w:t>Murphy Exploration and Production Company, Amelia, LA</w:t>
            </w:r>
          </w:p>
        </w:tc>
      </w:tr>
      <w:tr w:rsidR="00074A31" w:rsidRPr="00074A31" w14:paraId="568FF4DC" w14:textId="77777777" w:rsidTr="00A54079">
        <w:trPr>
          <w:jc w:val="center"/>
        </w:trPr>
        <w:tc>
          <w:tcPr>
            <w:tcW w:w="7095" w:type="dxa"/>
          </w:tcPr>
          <w:p w14:paraId="3C384A87"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bCs/>
                <w:kern w:val="2"/>
              </w:rPr>
              <w:t>* * *</w:t>
            </w:r>
          </w:p>
        </w:tc>
      </w:tr>
    </w:tbl>
    <w:p w14:paraId="6BB17143" w14:textId="77777777" w:rsidR="00074A31" w:rsidRPr="00074A31" w:rsidRDefault="00074A31" w:rsidP="00074A31">
      <w:pPr>
        <w:spacing w:line="480" w:lineRule="auto"/>
        <w:rPr>
          <w:rFonts w:ascii="Times New Roman" w:eastAsia="Calibri" w:hAnsi="Times New Roman" w:cs="Times New Roma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98"/>
      </w:tblGrid>
      <w:tr w:rsidR="00074A31" w:rsidRPr="00074A31" w14:paraId="3B1728B1" w14:textId="77777777" w:rsidTr="00A54079">
        <w:trPr>
          <w:jc w:val="center"/>
        </w:trPr>
        <w:tc>
          <w:tcPr>
            <w:tcW w:w="7098" w:type="dxa"/>
            <w:shd w:val="clear" w:color="auto" w:fill="auto"/>
          </w:tcPr>
          <w:p w14:paraId="11531346"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kern w:val="2"/>
              </w:rPr>
              <w:t>Table 2 – One-Time Wastes Excluded</w:t>
            </w:r>
          </w:p>
        </w:tc>
      </w:tr>
      <w:tr w:rsidR="00074A31" w:rsidRPr="00074A31" w14:paraId="2351418A" w14:textId="77777777" w:rsidTr="00A54079">
        <w:trPr>
          <w:jc w:val="center"/>
        </w:trPr>
        <w:tc>
          <w:tcPr>
            <w:tcW w:w="7098" w:type="dxa"/>
            <w:shd w:val="clear" w:color="auto" w:fill="auto"/>
          </w:tcPr>
          <w:p w14:paraId="0280D3FD"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bCs/>
                <w:kern w:val="2"/>
              </w:rPr>
              <w:t>Conrad Industries, Inc. (Conrad), Morgan City, LA</w:t>
            </w:r>
          </w:p>
        </w:tc>
      </w:tr>
      <w:tr w:rsidR="00074A31" w:rsidRPr="00074A31" w14:paraId="2689B4C4" w14:textId="77777777" w:rsidTr="00A54079">
        <w:trPr>
          <w:jc w:val="center"/>
        </w:trPr>
        <w:tc>
          <w:tcPr>
            <w:tcW w:w="7098" w:type="dxa"/>
          </w:tcPr>
          <w:p w14:paraId="7F4C208D" w14:textId="77777777" w:rsidR="00074A31" w:rsidRPr="00074A31" w:rsidRDefault="00074A31" w:rsidP="00074A31">
            <w:pPr>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rPr>
              <w:t>* * *</w:t>
            </w:r>
          </w:p>
        </w:tc>
      </w:tr>
    </w:tbl>
    <w:p w14:paraId="0BE87A47" w14:textId="77777777" w:rsidR="00074A31" w:rsidRPr="00074A31" w:rsidRDefault="00074A31" w:rsidP="00074A31">
      <w:pPr>
        <w:jc w:val="both"/>
        <w:rPr>
          <w:rFonts w:ascii="Times New Roman" w:eastAsia="Times New Roman" w:hAnsi="Times New Roman" w:cs="Times New Roma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98"/>
      </w:tblGrid>
      <w:tr w:rsidR="00074A31" w:rsidRPr="00074A31" w14:paraId="6DFE0C3E" w14:textId="77777777" w:rsidTr="00A54079">
        <w:trPr>
          <w:jc w:val="center"/>
        </w:trPr>
        <w:tc>
          <w:tcPr>
            <w:tcW w:w="7098" w:type="dxa"/>
            <w:shd w:val="clear" w:color="auto" w:fill="auto"/>
          </w:tcPr>
          <w:p w14:paraId="70A7BCAC"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kern w:val="2"/>
              </w:rPr>
              <w:t>Table 2 – One-Time Wastes Excluded</w:t>
            </w:r>
          </w:p>
        </w:tc>
      </w:tr>
      <w:tr w:rsidR="00074A31" w:rsidRPr="00074A31" w14:paraId="1BC8766A" w14:textId="77777777" w:rsidTr="00A54079">
        <w:trPr>
          <w:jc w:val="center"/>
        </w:trPr>
        <w:tc>
          <w:tcPr>
            <w:tcW w:w="7098" w:type="dxa"/>
            <w:shd w:val="clear" w:color="auto" w:fill="auto"/>
          </w:tcPr>
          <w:p w14:paraId="462886CE"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bCs/>
                <w:kern w:val="2"/>
              </w:rPr>
              <w:t>Marine Shale Processors, Inc., Amelia LA</w:t>
            </w:r>
          </w:p>
        </w:tc>
      </w:tr>
      <w:tr w:rsidR="00074A31" w:rsidRPr="00074A31" w14:paraId="0BD0C0C0" w14:textId="77777777" w:rsidTr="00A54079">
        <w:trPr>
          <w:jc w:val="center"/>
        </w:trPr>
        <w:tc>
          <w:tcPr>
            <w:tcW w:w="7098" w:type="dxa"/>
          </w:tcPr>
          <w:p w14:paraId="7473715C" w14:textId="77777777" w:rsidR="00074A31" w:rsidRPr="00074A31" w:rsidRDefault="00074A31" w:rsidP="00074A31">
            <w:pPr>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rPr>
              <w:t>* * *</w:t>
            </w:r>
          </w:p>
        </w:tc>
      </w:tr>
    </w:tbl>
    <w:p w14:paraId="627F2FA2" w14:textId="77777777" w:rsidR="00074A31" w:rsidRPr="00074A31" w:rsidRDefault="00074A31" w:rsidP="00074A31">
      <w:pPr>
        <w:jc w:val="both"/>
        <w:rPr>
          <w:rFonts w:ascii="Times New Roman" w:eastAsia="Times New Roman" w:hAnsi="Times New Roman" w:cs="Times New Roma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98"/>
      </w:tblGrid>
      <w:tr w:rsidR="00074A31" w:rsidRPr="00074A31" w14:paraId="4A095B68" w14:textId="77777777" w:rsidTr="00A54079">
        <w:trPr>
          <w:jc w:val="center"/>
        </w:trPr>
        <w:tc>
          <w:tcPr>
            <w:tcW w:w="7098" w:type="dxa"/>
            <w:tcBorders>
              <w:top w:val="single" w:sz="4" w:space="0" w:color="auto"/>
              <w:left w:val="double" w:sz="4" w:space="0" w:color="auto"/>
              <w:bottom w:val="single" w:sz="4" w:space="0" w:color="auto"/>
              <w:right w:val="double" w:sz="4" w:space="0" w:color="auto"/>
            </w:tcBorders>
            <w:shd w:val="clear" w:color="auto" w:fill="auto"/>
          </w:tcPr>
          <w:p w14:paraId="4453484C" w14:textId="77777777" w:rsidR="00074A31" w:rsidRPr="00074A31" w:rsidRDefault="00074A31" w:rsidP="00074A31">
            <w:pPr>
              <w:spacing w:line="480" w:lineRule="auto"/>
              <w:ind w:firstLine="187"/>
              <w:jc w:val="center"/>
              <w:rPr>
                <w:rFonts w:ascii="Times New Roman" w:eastAsia="Times New Roman" w:hAnsi="Times New Roman" w:cs="Times New Roman"/>
                <w:kern w:val="2"/>
                <w:u w:val="single"/>
              </w:rPr>
            </w:pPr>
            <w:r w:rsidRPr="00074A31">
              <w:rPr>
                <w:rFonts w:ascii="Times New Roman" w:eastAsia="Times New Roman" w:hAnsi="Times New Roman" w:cs="Times New Roman"/>
                <w:kern w:val="2"/>
                <w:u w:val="single"/>
              </w:rPr>
              <w:t>Table 2 – One-Time Wastes Excluded</w:t>
            </w:r>
          </w:p>
        </w:tc>
      </w:tr>
      <w:tr w:rsidR="00074A31" w:rsidRPr="00074A31" w14:paraId="1E0CADD2" w14:textId="77777777" w:rsidTr="00A54079">
        <w:trPr>
          <w:jc w:val="center"/>
        </w:trPr>
        <w:tc>
          <w:tcPr>
            <w:tcW w:w="7098" w:type="dxa"/>
            <w:tcBorders>
              <w:top w:val="single" w:sz="4" w:space="0" w:color="auto"/>
              <w:left w:val="double" w:sz="4" w:space="0" w:color="auto"/>
              <w:bottom w:val="single" w:sz="4" w:space="0" w:color="auto"/>
              <w:right w:val="double" w:sz="4" w:space="0" w:color="auto"/>
            </w:tcBorders>
            <w:shd w:val="clear" w:color="auto" w:fill="auto"/>
          </w:tcPr>
          <w:p w14:paraId="64048FC7" w14:textId="77777777" w:rsidR="00074A31" w:rsidRPr="00074A31" w:rsidRDefault="00074A31" w:rsidP="00074A31">
            <w:pPr>
              <w:spacing w:line="480" w:lineRule="auto"/>
              <w:ind w:firstLine="187"/>
              <w:jc w:val="center"/>
              <w:rPr>
                <w:rFonts w:ascii="Times New Roman" w:eastAsia="Times New Roman" w:hAnsi="Times New Roman" w:cs="Times New Roman"/>
                <w:kern w:val="2"/>
                <w:u w:val="single"/>
              </w:rPr>
            </w:pPr>
            <w:r w:rsidRPr="00074A31">
              <w:rPr>
                <w:rFonts w:ascii="Times New Roman" w:eastAsia="Times New Roman" w:hAnsi="Times New Roman" w:cs="Times New Roman"/>
                <w:kern w:val="2"/>
                <w:u w:val="single"/>
              </w:rPr>
              <w:t>Chevron Oronite Company LLC – Oak Point Plant, Belle Chasse, LA</w:t>
            </w:r>
          </w:p>
        </w:tc>
      </w:tr>
      <w:tr w:rsidR="00074A31" w:rsidRPr="00074A31" w14:paraId="1180AB24" w14:textId="77777777" w:rsidTr="00A54079">
        <w:trPr>
          <w:jc w:val="center"/>
        </w:trPr>
        <w:tc>
          <w:tcPr>
            <w:tcW w:w="7098" w:type="dxa"/>
            <w:tcBorders>
              <w:top w:val="single" w:sz="4" w:space="0" w:color="auto"/>
              <w:left w:val="double" w:sz="4" w:space="0" w:color="auto"/>
              <w:bottom w:val="double" w:sz="4" w:space="0" w:color="auto"/>
              <w:right w:val="double" w:sz="4" w:space="0" w:color="auto"/>
            </w:tcBorders>
          </w:tcPr>
          <w:p w14:paraId="677513AC" w14:textId="77777777" w:rsidR="00074A31" w:rsidRPr="00074A31" w:rsidRDefault="00074A31" w:rsidP="00074A31">
            <w:pPr>
              <w:spacing w:line="480" w:lineRule="auto"/>
              <w:rPr>
                <w:rFonts w:ascii="Times New Roman" w:eastAsia="Times New Roman" w:hAnsi="Times New Roman" w:cs="Times New Roman"/>
                <w:u w:val="single"/>
              </w:rPr>
            </w:pPr>
            <w:r w:rsidRPr="00074A31">
              <w:rPr>
                <w:rFonts w:ascii="Times New Roman" w:eastAsia="Times New Roman" w:hAnsi="Times New Roman" w:cs="Times New Roman"/>
                <w:u w:val="single"/>
              </w:rPr>
              <w:t xml:space="preserve">Hazardous waste scrubber mud was generated by scrubbing flue gas resulting from the incineration of a listed liquid hazardous waste previously generated at the Chevron Oronite Company LLC – Oak Point Plant (Chevron) in Belle Chasse, Louisiana. Chevron stabilized the scrubber mud with nonhazardous incinerator ash, nonhazardous sludges, and contaminated soil (collectively referred to as "ash"), all of which were generated at Chevron prior to disposal in Landfills A, B, and C. For the purpose of this one-time exclusion, the ash disposed of in Landfills A, B, and C includes hazardous waste code F005 and </w:t>
            </w:r>
            <w:r w:rsidRPr="00074A31">
              <w:rPr>
                <w:rFonts w:ascii="Times New Roman" w:eastAsia="Times New Roman" w:hAnsi="Times New Roman" w:cs="Times New Roman"/>
                <w:u w:val="single"/>
              </w:rPr>
              <w:lastRenderedPageBreak/>
              <w:t>hazard codes "I" and "T" as listed in LAC 33:V.4901. This one-time exclusion allows for the management of approximately 200,500 cubic yards of ash for the purpose of excavation, transportation, and off-site disposal as nonhazardous industrial solid waste or management in-place pursuant to alternative methods approved by the administrative authority.</w:t>
            </w:r>
          </w:p>
        </w:tc>
      </w:tr>
    </w:tbl>
    <w:p w14:paraId="10324F02" w14:textId="77777777" w:rsidR="00074A31" w:rsidRPr="00074A31" w:rsidRDefault="00074A31" w:rsidP="00074A31">
      <w:pPr>
        <w:jc w:val="both"/>
        <w:rPr>
          <w:rFonts w:ascii="Times New Roman" w:eastAsia="Times New Roman" w:hAnsi="Times New Roman" w:cs="Times New Roman"/>
        </w:rPr>
      </w:pPr>
    </w:p>
    <w:p w14:paraId="750DCBC7" w14:textId="77777777" w:rsidR="00074A31" w:rsidRPr="00074A31" w:rsidRDefault="00074A31" w:rsidP="00074A31">
      <w:pPr>
        <w:jc w:val="center"/>
        <w:rPr>
          <w:rFonts w:ascii="Times New Roman" w:eastAsia="Times New Roman" w:hAnsi="Times New Roman" w:cs="Times New Roman"/>
        </w:rPr>
      </w:pPr>
    </w:p>
    <w:p w14:paraId="2D4F7925" w14:textId="77777777" w:rsidR="00074A31" w:rsidRPr="00074A31" w:rsidRDefault="00074A31" w:rsidP="00074A31">
      <w:pPr>
        <w:tabs>
          <w:tab w:val="left" w:pos="288"/>
        </w:tabs>
        <w:rPr>
          <w:rFonts w:ascii="Times New Roman" w:eastAsia="Times New Roman" w:hAnsi="Times New Roman" w:cs="Times New Roman"/>
          <w:kern w:val="2"/>
        </w:rPr>
      </w:pPr>
      <w:r w:rsidRPr="00074A31">
        <w:rPr>
          <w:rFonts w:ascii="Times New Roman" w:eastAsia="Times New Roman" w:hAnsi="Times New Roman" w:cs="Times New Roman"/>
          <w:kern w:val="2"/>
        </w:rPr>
        <w:tab/>
        <w:t>AUTHORITY NOTE:</w:t>
      </w:r>
      <w:r w:rsidRPr="00074A31">
        <w:rPr>
          <w:rFonts w:ascii="Times New Roman" w:eastAsia="Times New Roman" w:hAnsi="Times New Roman" w:cs="Times New Roman"/>
          <w:kern w:val="2"/>
        </w:rPr>
        <w:tab/>
        <w:t>Promulgated in accordance with R.S. 30:2180 et seq.</w:t>
      </w:r>
    </w:p>
    <w:p w14:paraId="5CE750FD" w14:textId="420F9188" w:rsidR="00074A31" w:rsidRPr="00074A31" w:rsidRDefault="00074A31" w:rsidP="00074A31">
      <w:pPr>
        <w:widowControl w:val="0"/>
        <w:tabs>
          <w:tab w:val="left" w:pos="288"/>
        </w:tabs>
        <w:jc w:val="both"/>
        <w:rPr>
          <w:rFonts w:ascii="Times New Roman" w:eastAsia="Times New Roman" w:hAnsi="Times New Roman" w:cs="Times New Roman"/>
          <w:kern w:val="2"/>
        </w:rPr>
      </w:pPr>
      <w:r w:rsidRPr="00074A31">
        <w:rPr>
          <w:rFonts w:ascii="Times New Roman" w:eastAsia="Times New Roman" w:hAnsi="Times New Roman" w:cs="Times New Roman"/>
          <w:kern w:val="2"/>
        </w:rPr>
        <w:tab/>
        <w:t>HISTORICAL NOTE:</w:t>
      </w:r>
      <w:r w:rsidRPr="00074A31">
        <w:rPr>
          <w:rFonts w:ascii="Times New Roman" w:eastAsia="Times New Roman" w:hAnsi="Times New Roman" w:cs="Times New Roman"/>
          <w:kern w:val="2"/>
        </w:rPr>
        <w:tab/>
        <w:t>Promulgated by the Department of Environmental Quality, LR 20:1000 (September 1994), amended by the Office of Solid and Hazardous Waste, Hazardous Waste Division, LR 21:944 (September 1995), LR 22:830 (September 1996), amended by the Office of Waste Services, Hazardous Waste Division, LR 23:952 (August 1997), amended by the Office of Environmental Assessment, Environmental Planning Division, LR 25:2397 (December 1999), LR 26:2509 (November 2000), LR 29:1084 (July 2003), promulgated LR 29:1475 (August 2003), amended by the Office of Environmental Assessment, LR 30:2464 (November 2004), amended by the Office of the Secretary, Legal Affairs Division, LR 33:445 (March 2007), LR 33:825 (May 2007), LR 33:1016 (June 2007), LR 34:73 (January 2008), LR 34:1021 (June 2008), LR 34:1613 (August 2008), amended by the Office of the Secretary, Legal Division, LR 38:2757 (November 2012), LR 40:1692 (September 2014), LR 42:2179 (December 2016), LR 43:1149 (June 2017), amended by the Office of the Secretary, Legal Affairs and Criminal Investigations Division, LR 43:2139 (November 2017), amended by the Office of the Secretary, Legal Affairs Division, LR 49:59 (January 2023), LR 5</w:t>
      </w:r>
      <w:r w:rsidR="005C53B0">
        <w:rPr>
          <w:rFonts w:ascii="Times New Roman" w:eastAsia="Times New Roman" w:hAnsi="Times New Roman" w:cs="Times New Roman"/>
          <w:kern w:val="2"/>
        </w:rPr>
        <w:t>1</w:t>
      </w:r>
      <w:r w:rsidRPr="00074A31">
        <w:rPr>
          <w:rFonts w:ascii="Times New Roman" w:eastAsia="Times New Roman" w:hAnsi="Times New Roman" w:cs="Times New Roman"/>
          <w:kern w:val="2"/>
        </w:rPr>
        <w:t>:</w:t>
      </w:r>
    </w:p>
    <w:p w14:paraId="55D7E723" w14:textId="77777777" w:rsidR="00074A31" w:rsidRDefault="00074A31" w:rsidP="004F6187">
      <w:pPr>
        <w:pStyle w:val="WPNormal"/>
        <w:tabs>
          <w:tab w:val="left" w:pos="-720"/>
          <w:tab w:val="left" w:pos="0"/>
          <w:tab w:val="left" w:pos="720"/>
          <w:tab w:val="left" w:pos="1440"/>
          <w:tab w:val="left" w:pos="2160"/>
          <w:tab w:val="left" w:pos="2880"/>
        </w:tabs>
        <w:jc w:val="center"/>
        <w:rPr>
          <w:rFonts w:ascii="Palatino" w:hAnsi="Palatino"/>
          <w:b/>
          <w:sz w:val="20"/>
        </w:rPr>
      </w:pPr>
      <w:bookmarkStart w:id="3" w:name="_GoBack"/>
      <w:bookmarkEnd w:id="3"/>
    </w:p>
    <w:sectPr w:rsidR="00074A31" w:rsidSect="005C53B0">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2A447" w14:textId="77777777" w:rsidR="00442C75" w:rsidRDefault="00442C75" w:rsidP="008C4A02">
      <w:r>
        <w:separator/>
      </w:r>
    </w:p>
  </w:endnote>
  <w:endnote w:type="continuationSeparator" w:id="0">
    <w:p w14:paraId="78740FC7" w14:textId="77777777" w:rsidR="00442C75" w:rsidRDefault="00442C75"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A444C" w14:textId="77777777" w:rsidR="00442C75" w:rsidRDefault="00442C75" w:rsidP="008C4A02">
      <w:r>
        <w:separator/>
      </w:r>
    </w:p>
  </w:footnote>
  <w:footnote w:type="continuationSeparator" w:id="0">
    <w:p w14:paraId="104018E7" w14:textId="77777777" w:rsidR="00442C75" w:rsidRDefault="00442C75"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8C6"/>
    <w:multiLevelType w:val="hybridMultilevel"/>
    <w:tmpl w:val="7FDEE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1"/>
  </w:num>
  <w:num w:numId="4">
    <w:abstractNumId w:val="7"/>
  </w:num>
  <w:num w:numId="5">
    <w:abstractNumId w:val="3"/>
  </w:num>
  <w:num w:numId="6">
    <w:abstractNumId w:val="5"/>
  </w:num>
  <w:num w:numId="7">
    <w:abstractNumId w:val="6"/>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411B2"/>
    <w:rsid w:val="000655A1"/>
    <w:rsid w:val="00074A31"/>
    <w:rsid w:val="00082CD2"/>
    <w:rsid w:val="000A56B9"/>
    <w:rsid w:val="000B3B46"/>
    <w:rsid w:val="000D3189"/>
    <w:rsid w:val="00111C2F"/>
    <w:rsid w:val="001649FC"/>
    <w:rsid w:val="00174092"/>
    <w:rsid w:val="001904E4"/>
    <w:rsid w:val="00194E78"/>
    <w:rsid w:val="001C0FD8"/>
    <w:rsid w:val="00274AF6"/>
    <w:rsid w:val="00277444"/>
    <w:rsid w:val="002814AF"/>
    <w:rsid w:val="00287A7E"/>
    <w:rsid w:val="002A6257"/>
    <w:rsid w:val="002F4777"/>
    <w:rsid w:val="00316ACA"/>
    <w:rsid w:val="0031758E"/>
    <w:rsid w:val="0032510E"/>
    <w:rsid w:val="003455EA"/>
    <w:rsid w:val="00350DE1"/>
    <w:rsid w:val="00355605"/>
    <w:rsid w:val="00374F14"/>
    <w:rsid w:val="0038483E"/>
    <w:rsid w:val="003864DD"/>
    <w:rsid w:val="003A2194"/>
    <w:rsid w:val="003C539D"/>
    <w:rsid w:val="003C6B97"/>
    <w:rsid w:val="003C6C91"/>
    <w:rsid w:val="0041055E"/>
    <w:rsid w:val="00442C75"/>
    <w:rsid w:val="004815F6"/>
    <w:rsid w:val="00493842"/>
    <w:rsid w:val="004F6187"/>
    <w:rsid w:val="00593C8F"/>
    <w:rsid w:val="005B49F9"/>
    <w:rsid w:val="005C53B0"/>
    <w:rsid w:val="006146CE"/>
    <w:rsid w:val="00625862"/>
    <w:rsid w:val="00680EAE"/>
    <w:rsid w:val="00686BBB"/>
    <w:rsid w:val="006C1C27"/>
    <w:rsid w:val="007203E0"/>
    <w:rsid w:val="00762D26"/>
    <w:rsid w:val="007E34EE"/>
    <w:rsid w:val="00804B16"/>
    <w:rsid w:val="00813611"/>
    <w:rsid w:val="00825FE1"/>
    <w:rsid w:val="00876057"/>
    <w:rsid w:val="008B6D06"/>
    <w:rsid w:val="008C4A02"/>
    <w:rsid w:val="008E1AC3"/>
    <w:rsid w:val="008E1B30"/>
    <w:rsid w:val="009643F2"/>
    <w:rsid w:val="00971B4D"/>
    <w:rsid w:val="009F6411"/>
    <w:rsid w:val="00A46D65"/>
    <w:rsid w:val="00A82C43"/>
    <w:rsid w:val="00A90395"/>
    <w:rsid w:val="00AA03DA"/>
    <w:rsid w:val="00AD58F2"/>
    <w:rsid w:val="00AD5943"/>
    <w:rsid w:val="00B14930"/>
    <w:rsid w:val="00B160E2"/>
    <w:rsid w:val="00B60B62"/>
    <w:rsid w:val="00BA75C9"/>
    <w:rsid w:val="00C10B50"/>
    <w:rsid w:val="00C46FDC"/>
    <w:rsid w:val="00CD6EB2"/>
    <w:rsid w:val="00CE64E5"/>
    <w:rsid w:val="00D00769"/>
    <w:rsid w:val="00D035A9"/>
    <w:rsid w:val="00D26A97"/>
    <w:rsid w:val="00D4072C"/>
    <w:rsid w:val="00D42DCA"/>
    <w:rsid w:val="00D61DD8"/>
    <w:rsid w:val="00D7095D"/>
    <w:rsid w:val="00DB1958"/>
    <w:rsid w:val="00DC277C"/>
    <w:rsid w:val="00DC3B3F"/>
    <w:rsid w:val="00DE773F"/>
    <w:rsid w:val="00E12B63"/>
    <w:rsid w:val="00E64426"/>
    <w:rsid w:val="00EB574A"/>
    <w:rsid w:val="00F11475"/>
    <w:rsid w:val="00F15985"/>
    <w:rsid w:val="00F76B4E"/>
    <w:rsid w:val="00FB5841"/>
    <w:rsid w:val="00FC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NormalWeb">
    <w:name w:val="Normal (Web)"/>
    <w:basedOn w:val="Normal"/>
    <w:uiPriority w:val="99"/>
    <w:semiHidden/>
    <w:unhideWhenUsed/>
    <w:rsid w:val="00686BBB"/>
    <w:rPr>
      <w:rFonts w:ascii="Times New Roman" w:hAnsi="Times New Roman" w:cs="Times New Roman"/>
    </w:rPr>
  </w:style>
  <w:style w:type="paragraph" w:styleId="BalloonText">
    <w:name w:val="Balloon Text"/>
    <w:basedOn w:val="Normal"/>
    <w:link w:val="BalloonTextChar"/>
    <w:uiPriority w:val="99"/>
    <w:semiHidden/>
    <w:unhideWhenUsed/>
    <w:rsid w:val="00AD5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943"/>
    <w:rPr>
      <w:rFonts w:ascii="Segoe UI" w:hAnsi="Segoe UI" w:cs="Segoe UI"/>
      <w:sz w:val="18"/>
      <w:szCs w:val="18"/>
    </w:rPr>
  </w:style>
  <w:style w:type="paragraph" w:styleId="Revision">
    <w:name w:val="Revision"/>
    <w:hidden/>
    <w:uiPriority w:val="99"/>
    <w:semiHidden/>
    <w:rsid w:val="00D03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25486">
      <w:bodyDiv w:val="1"/>
      <w:marLeft w:val="0"/>
      <w:marRight w:val="0"/>
      <w:marTop w:val="0"/>
      <w:marBottom w:val="0"/>
      <w:divBdr>
        <w:top w:val="none" w:sz="0" w:space="0" w:color="auto"/>
        <w:left w:val="none" w:sz="0" w:space="0" w:color="auto"/>
        <w:bottom w:val="none" w:sz="0" w:space="0" w:color="auto"/>
        <w:right w:val="none" w:sz="0" w:space="0" w:color="auto"/>
      </w:divBdr>
    </w:div>
    <w:div w:id="798258881">
      <w:bodyDiv w:val="1"/>
      <w:marLeft w:val="0"/>
      <w:marRight w:val="0"/>
      <w:marTop w:val="0"/>
      <w:marBottom w:val="0"/>
      <w:divBdr>
        <w:top w:val="none" w:sz="0" w:space="0" w:color="auto"/>
        <w:left w:val="none" w:sz="0" w:space="0" w:color="auto"/>
        <w:bottom w:val="none" w:sz="0" w:space="0" w:color="auto"/>
        <w:right w:val="none" w:sz="0" w:space="0" w:color="auto"/>
      </w:divBdr>
    </w:div>
    <w:div w:id="16705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C5B8-D051-43FA-B9B7-A6BB4221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3</cp:revision>
  <cp:lastPrinted>2025-04-03T13:31:00Z</cp:lastPrinted>
  <dcterms:created xsi:type="dcterms:W3CDTF">2025-08-06T18:23:00Z</dcterms:created>
  <dcterms:modified xsi:type="dcterms:W3CDTF">2025-08-06T18:23:00Z</dcterms:modified>
</cp:coreProperties>
</file>