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AE57" w14:textId="04820C01" w:rsidR="0024669A" w:rsidRPr="0024669A" w:rsidRDefault="0024669A" w:rsidP="0024669A">
      <w:pPr>
        <w:keepNext/>
        <w:keepLines/>
        <w:tabs>
          <w:tab w:val="left" w:pos="1440"/>
          <w:tab w:val="left" w:pos="4500"/>
        </w:tabs>
        <w:jc w:val="center"/>
        <w:rPr>
          <w:rFonts w:ascii="Times New Roman" w:eastAsia="Times New Roman" w:hAnsi="Times New Roman" w:cs="Times New Roman"/>
          <w:b/>
          <w:noProof/>
          <w:sz w:val="28"/>
          <w:szCs w:val="28"/>
        </w:rPr>
      </w:pPr>
      <w:r w:rsidRPr="0024669A">
        <w:rPr>
          <w:rFonts w:ascii="Times New Roman" w:eastAsia="Times New Roman" w:hAnsi="Times New Roman" w:cs="Times New Roman"/>
          <w:b/>
          <w:noProof/>
          <w:sz w:val="28"/>
          <w:szCs w:val="28"/>
        </w:rPr>
        <w:t>Title 33</w:t>
      </w:r>
    </w:p>
    <w:p w14:paraId="3FC91433" w14:textId="77777777" w:rsidR="0024669A" w:rsidRPr="0024669A" w:rsidRDefault="0024669A" w:rsidP="0024669A">
      <w:pPr>
        <w:keepNext/>
        <w:keepLines/>
        <w:jc w:val="center"/>
        <w:outlineLvl w:val="0"/>
        <w:rPr>
          <w:rFonts w:ascii="Times New Roman" w:eastAsia="Times New Roman" w:hAnsi="Times New Roman" w:cs="Times New Roman"/>
          <w:b/>
          <w:kern w:val="2"/>
          <w:sz w:val="28"/>
          <w:szCs w:val="28"/>
        </w:rPr>
      </w:pPr>
      <w:r w:rsidRPr="0024669A">
        <w:rPr>
          <w:rFonts w:ascii="Times New Roman" w:eastAsia="Times New Roman" w:hAnsi="Times New Roman" w:cs="Times New Roman"/>
          <w:b/>
          <w:kern w:val="2"/>
          <w:sz w:val="28"/>
          <w:szCs w:val="28"/>
        </w:rPr>
        <w:t>ENVIRONMENTAL QUALITY</w:t>
      </w:r>
    </w:p>
    <w:p w14:paraId="2018C524" w14:textId="77777777" w:rsidR="0024669A" w:rsidRPr="0024669A" w:rsidRDefault="0024669A" w:rsidP="0024669A">
      <w:pPr>
        <w:keepNext/>
        <w:keepLines/>
        <w:jc w:val="center"/>
        <w:outlineLvl w:val="2"/>
        <w:rPr>
          <w:rFonts w:ascii="Times New Roman" w:eastAsia="Times New Roman" w:hAnsi="Times New Roman" w:cs="Times New Roman"/>
          <w:b/>
          <w:kern w:val="2"/>
          <w:sz w:val="28"/>
          <w:szCs w:val="28"/>
        </w:rPr>
      </w:pPr>
      <w:r w:rsidRPr="0024669A">
        <w:rPr>
          <w:rFonts w:ascii="Times New Roman" w:eastAsia="Times New Roman" w:hAnsi="Times New Roman" w:cs="Times New Roman"/>
          <w:b/>
          <w:kern w:val="2"/>
          <w:sz w:val="28"/>
          <w:szCs w:val="28"/>
        </w:rPr>
        <w:t>Part III.  Air</w:t>
      </w:r>
    </w:p>
    <w:p w14:paraId="714FBD08" w14:textId="77777777" w:rsidR="0024669A" w:rsidRPr="0024669A" w:rsidRDefault="0024669A" w:rsidP="0024669A">
      <w:pPr>
        <w:keepNext/>
        <w:keepLines/>
        <w:ind w:left="-360"/>
        <w:rPr>
          <w:rFonts w:ascii="Times New Roman" w:eastAsia="Times New Roman" w:hAnsi="Times New Roman" w:cs="Times New Roman"/>
          <w:kern w:val="2"/>
        </w:rPr>
      </w:pPr>
      <w:bookmarkStart w:id="0" w:name="TOC_Chap2"/>
    </w:p>
    <w:p w14:paraId="1B13DCA3" w14:textId="77777777" w:rsidR="0024669A" w:rsidRPr="0024669A" w:rsidRDefault="0024669A" w:rsidP="0024669A">
      <w:pPr>
        <w:widowControl w:val="0"/>
        <w:tabs>
          <w:tab w:val="left" w:pos="720"/>
        </w:tabs>
        <w:spacing w:line="480" w:lineRule="auto"/>
        <w:rPr>
          <w:rFonts w:ascii="Times New Roman" w:eastAsia="Times New Roman" w:hAnsi="Times New Roman" w:cs="Times New Roman"/>
          <w:b/>
          <w:kern w:val="2"/>
        </w:rPr>
      </w:pPr>
      <w:r w:rsidRPr="0024669A">
        <w:rPr>
          <w:rFonts w:ascii="Times New Roman" w:eastAsia="Times New Roman" w:hAnsi="Times New Roman" w:cs="Times New Roman"/>
          <w:b/>
          <w:kern w:val="2"/>
        </w:rPr>
        <w:t>Chapter 21.</w:t>
      </w:r>
      <w:bookmarkEnd w:id="0"/>
      <w:r w:rsidRPr="0024669A">
        <w:rPr>
          <w:rFonts w:ascii="Times New Roman" w:eastAsia="Times New Roman" w:hAnsi="Times New Roman" w:cs="Times New Roman"/>
          <w:b/>
          <w:kern w:val="2"/>
        </w:rPr>
        <w:tab/>
        <w:t>Control of Emission of Organic Compounds</w:t>
      </w:r>
    </w:p>
    <w:p w14:paraId="64040F16" w14:textId="77777777" w:rsidR="0024669A" w:rsidRPr="0024669A" w:rsidRDefault="0024669A" w:rsidP="0024669A">
      <w:pPr>
        <w:widowControl w:val="0"/>
        <w:tabs>
          <w:tab w:val="left" w:pos="720"/>
        </w:tabs>
        <w:spacing w:line="480" w:lineRule="auto"/>
        <w:ind w:left="720" w:hanging="720"/>
        <w:rPr>
          <w:rFonts w:ascii="Times New Roman" w:eastAsia="Times New Roman" w:hAnsi="Times New Roman" w:cs="Times New Roman"/>
          <w:b/>
          <w:kern w:val="2"/>
        </w:rPr>
      </w:pPr>
      <w:r w:rsidRPr="0024669A">
        <w:rPr>
          <w:rFonts w:ascii="Times New Roman" w:eastAsia="Times New Roman" w:hAnsi="Times New Roman" w:cs="Times New Roman"/>
          <w:b/>
          <w:kern w:val="2"/>
        </w:rPr>
        <w:t>Subchapter A.</w:t>
      </w:r>
      <w:r w:rsidRPr="0024669A">
        <w:rPr>
          <w:rFonts w:ascii="Times New Roman" w:eastAsia="Times New Roman" w:hAnsi="Times New Roman" w:cs="Times New Roman"/>
          <w:b/>
          <w:kern w:val="2"/>
        </w:rPr>
        <w:tab/>
        <w:t>General</w:t>
      </w:r>
    </w:p>
    <w:p w14:paraId="0AC3AFD6" w14:textId="77777777" w:rsidR="0024669A" w:rsidRPr="0024669A" w:rsidRDefault="0024669A" w:rsidP="0024669A">
      <w:pPr>
        <w:widowControl w:val="0"/>
        <w:tabs>
          <w:tab w:val="left" w:pos="990"/>
        </w:tabs>
        <w:spacing w:line="480" w:lineRule="auto"/>
        <w:rPr>
          <w:rFonts w:ascii="Times New Roman" w:eastAsia="Times New Roman" w:hAnsi="Times New Roman" w:cs="Times New Roman"/>
          <w:b/>
          <w:kern w:val="2"/>
        </w:rPr>
      </w:pPr>
      <w:r w:rsidRPr="0024669A">
        <w:rPr>
          <w:rFonts w:ascii="Times New Roman" w:eastAsia="Times New Roman" w:hAnsi="Times New Roman" w:cs="Times New Roman"/>
          <w:b/>
          <w:kern w:val="2"/>
        </w:rPr>
        <w:t>§2103.</w:t>
      </w:r>
      <w:r w:rsidRPr="0024669A">
        <w:rPr>
          <w:rFonts w:ascii="Times New Roman" w:eastAsia="Times New Roman" w:hAnsi="Times New Roman" w:cs="Times New Roman"/>
          <w:b/>
          <w:kern w:val="2"/>
        </w:rPr>
        <w:tab/>
        <w:t>Storage of Volatile Organic Compounds</w:t>
      </w:r>
    </w:p>
    <w:p w14:paraId="103D6D5A" w14:textId="77777777" w:rsidR="0024669A" w:rsidRPr="0024669A" w:rsidRDefault="0024669A" w:rsidP="0024669A">
      <w:pPr>
        <w:widowControl w:val="0"/>
        <w:tabs>
          <w:tab w:val="left" w:pos="720"/>
          <w:tab w:val="left" w:pos="1800"/>
        </w:tabs>
        <w:spacing w:line="480" w:lineRule="auto"/>
        <w:ind w:left="720" w:hanging="720"/>
        <w:outlineLvl w:val="2"/>
        <w:rPr>
          <w:rFonts w:ascii="Times New Roman" w:eastAsia="Times New Roman" w:hAnsi="Times New Roman" w:cs="Times New Roman"/>
          <w:kern w:val="2"/>
        </w:rPr>
      </w:pPr>
      <w:r w:rsidRPr="0024669A">
        <w:rPr>
          <w:rFonts w:ascii="Times New Roman" w:eastAsia="Times New Roman" w:hAnsi="Times New Roman" w:cs="Times New Roman"/>
          <w:kern w:val="2"/>
        </w:rPr>
        <w:tab/>
        <w:t>A. — F.</w:t>
      </w:r>
      <w:r w:rsidRPr="0024669A">
        <w:rPr>
          <w:rFonts w:ascii="Times New Roman" w:eastAsia="Times New Roman" w:hAnsi="Times New Roman" w:cs="Times New Roman"/>
          <w:kern w:val="2"/>
        </w:rPr>
        <w:tab/>
        <w:t>…</w:t>
      </w:r>
    </w:p>
    <w:p w14:paraId="1F98C98C" w14:textId="77777777" w:rsidR="0024669A" w:rsidRPr="0024669A" w:rsidRDefault="0024669A" w:rsidP="0024669A">
      <w:pPr>
        <w:widowControl w:val="0"/>
        <w:tabs>
          <w:tab w:val="left" w:pos="720"/>
        </w:tabs>
        <w:spacing w:line="480" w:lineRule="auto"/>
        <w:outlineLvl w:val="3"/>
        <w:rPr>
          <w:rFonts w:ascii="Times New Roman" w:eastAsia="Times New Roman" w:hAnsi="Times New Roman" w:cs="Times New Roman"/>
          <w:kern w:val="2"/>
        </w:rPr>
      </w:pPr>
      <w:r w:rsidRPr="0024669A">
        <w:rPr>
          <w:rFonts w:ascii="Times New Roman" w:eastAsia="Times New Roman" w:hAnsi="Times New Roman" w:cs="Times New Roman"/>
          <w:kern w:val="2"/>
        </w:rPr>
        <w:tab/>
        <w:t>G.</w:t>
      </w:r>
      <w:r w:rsidRPr="0024669A">
        <w:rPr>
          <w:rFonts w:ascii="Times New Roman" w:eastAsia="Times New Roman" w:hAnsi="Times New Roman" w:cs="Times New Roman"/>
          <w:kern w:val="2"/>
        </w:rPr>
        <w:tab/>
      </w:r>
      <w:r w:rsidRPr="0024669A">
        <w:rPr>
          <w:rFonts w:ascii="Times New Roman" w:eastAsia="Calibri" w:hAnsi="Times New Roman" w:cs="Times New Roman"/>
          <w:kern w:val="2"/>
        </w:rPr>
        <w:t xml:space="preserve">Exemptions. The provisions of this Section </w:t>
      </w:r>
      <w:r w:rsidRPr="0024669A">
        <w:rPr>
          <w:rFonts w:ascii="Times New Roman" w:eastAsia="Calibri" w:hAnsi="Times New Roman" w:cs="Times New Roman"/>
          <w:strike/>
          <w:kern w:val="2"/>
        </w:rPr>
        <w:t xml:space="preserve">(e.g., LAC 33:III.2103) </w:t>
      </w:r>
      <w:r w:rsidRPr="0024669A">
        <w:rPr>
          <w:rFonts w:ascii="Times New Roman" w:eastAsia="Calibri" w:hAnsi="Times New Roman" w:cs="Times New Roman"/>
          <w:kern w:val="2"/>
        </w:rPr>
        <w:t>do not apply to:</w:t>
      </w:r>
    </w:p>
    <w:p w14:paraId="4378CE02" w14:textId="77777777" w:rsidR="0024669A" w:rsidRPr="0024669A" w:rsidRDefault="0024669A" w:rsidP="0024669A">
      <w:pPr>
        <w:widowControl w:val="0"/>
        <w:tabs>
          <w:tab w:val="left" w:pos="720"/>
        </w:tabs>
        <w:spacing w:line="480" w:lineRule="auto"/>
        <w:outlineLvl w:val="4"/>
        <w:rPr>
          <w:rFonts w:ascii="Times New Roman" w:eastAsia="Times New Roman" w:hAnsi="Times New Roman" w:cs="Times New Roman"/>
          <w:kern w:val="2"/>
        </w:rPr>
      </w:pPr>
      <w:r w:rsidRPr="0024669A">
        <w:rPr>
          <w:rFonts w:ascii="Times New Roman" w:eastAsia="Times New Roman" w:hAnsi="Times New Roman" w:cs="Times New Roman"/>
          <w:iCs/>
          <w:kern w:val="2"/>
        </w:rPr>
        <w:tab/>
      </w:r>
      <w:r w:rsidRPr="0024669A">
        <w:rPr>
          <w:rFonts w:ascii="Times New Roman" w:eastAsia="Times New Roman" w:hAnsi="Times New Roman" w:cs="Times New Roman"/>
          <w:iCs/>
          <w:kern w:val="2"/>
        </w:rPr>
        <w:tab/>
      </w:r>
      <w:r w:rsidRPr="0024669A">
        <w:rPr>
          <w:rFonts w:ascii="Times New Roman" w:eastAsia="Times New Roman" w:hAnsi="Times New Roman" w:cs="Times New Roman"/>
          <w:kern w:val="2"/>
        </w:rPr>
        <w:t>1.</w:t>
      </w:r>
      <w:r w:rsidRPr="0024669A">
        <w:rPr>
          <w:rFonts w:ascii="Times New Roman" w:eastAsia="Times New Roman" w:hAnsi="Times New Roman" w:cs="Times New Roman"/>
          <w:kern w:val="2"/>
        </w:rPr>
        <w:tab/>
        <w:t xml:space="preserve">existing and new storage tanks, located in any parish other than the parishes of Ascension, Calcasieu, East Baton Rouge, Iberville, Livingston, Pointe Coupee, and West Baton Rouge, used for crude oil or condensate and having a nominal storage capacity of less than 420,000 gallons (1,589,900 liters) unless such new tanks are subject to </w:t>
      </w:r>
      <w:r w:rsidRPr="0024669A">
        <w:rPr>
          <w:rFonts w:ascii="Times New Roman" w:eastAsia="Times New Roman" w:hAnsi="Times New Roman" w:cs="Times New Roman"/>
          <w:kern w:val="2"/>
          <w:u w:val="single"/>
        </w:rPr>
        <w:t xml:space="preserve">the control requirements of </w:t>
      </w:r>
      <w:r w:rsidRPr="0024669A">
        <w:rPr>
          <w:rFonts w:ascii="Times New Roman" w:eastAsia="Times New Roman" w:hAnsi="Times New Roman" w:cs="Times New Roman"/>
          <w:kern w:val="2"/>
        </w:rPr>
        <w:t>New Source Performance Standards;</w:t>
      </w:r>
    </w:p>
    <w:p w14:paraId="0C840DE1" w14:textId="77777777" w:rsidR="0024669A" w:rsidRPr="0024669A" w:rsidRDefault="0024669A" w:rsidP="0024669A">
      <w:pPr>
        <w:widowControl w:val="0"/>
        <w:tabs>
          <w:tab w:val="left" w:pos="720"/>
        </w:tabs>
        <w:spacing w:line="480" w:lineRule="auto"/>
        <w:outlineLvl w:val="4"/>
        <w:rPr>
          <w:rFonts w:ascii="Times New Roman" w:eastAsia="Times New Roman" w:hAnsi="Times New Roman" w:cs="Times New Roman"/>
          <w:kern w:val="2"/>
        </w:rPr>
      </w:pPr>
      <w:r w:rsidRPr="0024669A">
        <w:rPr>
          <w:rFonts w:ascii="Times New Roman" w:eastAsia="Times New Roman" w:hAnsi="Times New Roman" w:cs="Times New Roman"/>
          <w:kern w:val="2"/>
        </w:rPr>
        <w:tab/>
      </w:r>
      <w:r w:rsidRPr="0024669A">
        <w:rPr>
          <w:rFonts w:ascii="Times New Roman" w:eastAsia="Times New Roman" w:hAnsi="Times New Roman" w:cs="Times New Roman"/>
          <w:kern w:val="2"/>
        </w:rPr>
        <w:tab/>
        <w:t>2.</w:t>
      </w:r>
      <w:r w:rsidRPr="0024669A">
        <w:rPr>
          <w:rFonts w:ascii="Times New Roman" w:eastAsia="Times New Roman" w:hAnsi="Times New Roman" w:cs="Times New Roman"/>
          <w:kern w:val="2"/>
        </w:rPr>
        <w:tab/>
        <w:t xml:space="preserve">tanks 420,000 gallons (1,589,900 liters) or greater, located in any parish other than the parishes of Ascension, Calcasieu, East Baton Rouge, Iberville, Livingston, Pointe Coupee, and West Baton Rouge, used to store produced crude oil or condensate prior to lease custody transfer unless such tanks are subject to </w:t>
      </w:r>
      <w:r w:rsidRPr="0024669A">
        <w:rPr>
          <w:rFonts w:ascii="Times New Roman" w:eastAsia="Times New Roman" w:hAnsi="Times New Roman" w:cs="Times New Roman"/>
          <w:kern w:val="2"/>
          <w:u w:val="single"/>
        </w:rPr>
        <w:t xml:space="preserve">the control requirements of </w:t>
      </w:r>
      <w:r w:rsidRPr="0024669A">
        <w:rPr>
          <w:rFonts w:ascii="Times New Roman" w:eastAsia="Times New Roman" w:hAnsi="Times New Roman" w:cs="Times New Roman"/>
          <w:kern w:val="2"/>
        </w:rPr>
        <w:t>New Source Performance Standards;</w:t>
      </w:r>
    </w:p>
    <w:p w14:paraId="41151A79" w14:textId="77777777" w:rsidR="0024669A" w:rsidRPr="0024669A" w:rsidRDefault="0024669A" w:rsidP="0024669A">
      <w:pPr>
        <w:widowControl w:val="0"/>
        <w:tabs>
          <w:tab w:val="left" w:pos="720"/>
        </w:tabs>
        <w:spacing w:line="480" w:lineRule="auto"/>
        <w:outlineLvl w:val="4"/>
        <w:rPr>
          <w:rFonts w:ascii="Times New Roman" w:eastAsia="Times New Roman" w:hAnsi="Times New Roman" w:cs="Times New Roman"/>
          <w:kern w:val="2"/>
        </w:rPr>
      </w:pPr>
      <w:r w:rsidRPr="0024669A">
        <w:rPr>
          <w:rFonts w:ascii="Times New Roman" w:eastAsia="Times New Roman" w:hAnsi="Times New Roman" w:cs="Times New Roman"/>
          <w:kern w:val="2"/>
        </w:rPr>
        <w:tab/>
      </w:r>
      <w:r w:rsidRPr="0024669A">
        <w:rPr>
          <w:rFonts w:ascii="Times New Roman" w:eastAsia="Times New Roman" w:hAnsi="Times New Roman" w:cs="Times New Roman"/>
          <w:kern w:val="2"/>
        </w:rPr>
        <w:tab/>
        <w:t>3.</w:t>
      </w:r>
      <w:r w:rsidRPr="0024669A">
        <w:rPr>
          <w:rFonts w:ascii="Times New Roman" w:eastAsia="Times New Roman" w:hAnsi="Times New Roman" w:cs="Times New Roman"/>
          <w:kern w:val="2"/>
        </w:rPr>
        <w:tab/>
        <w:t xml:space="preserve">existing and new storage tanks in the parishes of Ascension, Calcasieu, East Baton Rouge, Iberville, Livingston, Pointe Coupee, and West Baton Rouge that are used for crude oil or condensate prior to lease custody transfer and that have a nominal storage capacity of less than 420,000 gallons (1,589,900 liters) unless such new tanks are subject to </w:t>
      </w:r>
      <w:r w:rsidRPr="0024669A">
        <w:rPr>
          <w:rFonts w:ascii="Times New Roman" w:eastAsia="Times New Roman" w:hAnsi="Times New Roman" w:cs="Times New Roman"/>
          <w:kern w:val="2"/>
          <w:u w:val="single"/>
        </w:rPr>
        <w:t xml:space="preserve">the control requirements of </w:t>
      </w:r>
      <w:r w:rsidRPr="0024669A">
        <w:rPr>
          <w:rFonts w:ascii="Times New Roman" w:eastAsia="Times New Roman" w:hAnsi="Times New Roman" w:cs="Times New Roman"/>
          <w:kern w:val="2"/>
        </w:rPr>
        <w:t>New Source Performance Standards;</w:t>
      </w:r>
    </w:p>
    <w:p w14:paraId="61A57477" w14:textId="77777777" w:rsidR="0024669A" w:rsidRPr="0024669A" w:rsidRDefault="0024669A" w:rsidP="0024669A">
      <w:pPr>
        <w:widowControl w:val="0"/>
        <w:tabs>
          <w:tab w:val="left" w:pos="720"/>
        </w:tabs>
        <w:spacing w:line="480" w:lineRule="auto"/>
        <w:ind w:left="720" w:hanging="720"/>
        <w:outlineLvl w:val="2"/>
        <w:rPr>
          <w:rFonts w:ascii="Times New Roman" w:eastAsia="Times New Roman" w:hAnsi="Times New Roman" w:cs="Times New Roman"/>
          <w:kern w:val="2"/>
        </w:rPr>
      </w:pPr>
      <w:r w:rsidRPr="0024669A">
        <w:rPr>
          <w:rFonts w:ascii="Times New Roman" w:eastAsia="Times New Roman" w:hAnsi="Times New Roman" w:cs="Times New Roman"/>
          <w:kern w:val="2"/>
        </w:rPr>
        <w:lastRenderedPageBreak/>
        <w:tab/>
        <w:t>G.4. — J.</w:t>
      </w:r>
      <w:r w:rsidRPr="0024669A">
        <w:rPr>
          <w:rFonts w:ascii="Times New Roman" w:eastAsia="Times New Roman" w:hAnsi="Times New Roman" w:cs="Times New Roman"/>
          <w:kern w:val="2"/>
        </w:rPr>
        <w:tab/>
        <w:t>…</w:t>
      </w:r>
    </w:p>
    <w:p w14:paraId="2371D146" w14:textId="77777777" w:rsidR="0024669A" w:rsidRPr="0024669A" w:rsidRDefault="0024669A" w:rsidP="0024669A">
      <w:pPr>
        <w:tabs>
          <w:tab w:val="left" w:pos="288"/>
        </w:tabs>
        <w:jc w:val="both"/>
        <w:rPr>
          <w:rFonts w:ascii="Times New Roman" w:eastAsia="Times New Roman" w:hAnsi="Times New Roman" w:cs="Times New Roman"/>
          <w:kern w:val="2"/>
        </w:rPr>
      </w:pPr>
      <w:r w:rsidRPr="0024669A">
        <w:rPr>
          <w:rFonts w:ascii="Times New Roman" w:eastAsia="Times New Roman" w:hAnsi="Times New Roman" w:cs="Times New Roman"/>
          <w:kern w:val="2"/>
        </w:rPr>
        <w:tab/>
        <w:t>AUTHORITY NOTE:</w:t>
      </w:r>
      <w:r w:rsidRPr="0024669A">
        <w:rPr>
          <w:rFonts w:ascii="Times New Roman" w:eastAsia="Times New Roman" w:hAnsi="Times New Roman" w:cs="Times New Roman"/>
          <w:kern w:val="2"/>
        </w:rPr>
        <w:tab/>
        <w:t>Promulgated in accordance with R.S. 30:2054.</w:t>
      </w:r>
    </w:p>
    <w:p w14:paraId="5FC7BDB4" w14:textId="6855B8D2" w:rsidR="0024669A" w:rsidRDefault="0024669A" w:rsidP="0024669A">
      <w:pPr>
        <w:pStyle w:val="WPNormal"/>
        <w:tabs>
          <w:tab w:val="left" w:pos="-720"/>
          <w:tab w:val="left" w:pos="0"/>
          <w:tab w:val="left" w:pos="270"/>
          <w:tab w:val="left" w:pos="1440"/>
          <w:tab w:val="left" w:pos="2160"/>
          <w:tab w:val="left" w:pos="2880"/>
        </w:tabs>
        <w:jc w:val="left"/>
        <w:rPr>
          <w:rFonts w:ascii="Palatino" w:hAnsi="Palatino"/>
          <w:b/>
          <w:sz w:val="20"/>
        </w:rPr>
      </w:pPr>
      <w:r>
        <w:rPr>
          <w:rFonts w:ascii="Times New Roman" w:hAnsi="Times New Roman"/>
          <w:color w:val="auto"/>
          <w:szCs w:val="24"/>
        </w:rPr>
        <w:tab/>
      </w:r>
      <w:r w:rsidRPr="0024669A">
        <w:rPr>
          <w:rFonts w:ascii="Times New Roman" w:hAnsi="Times New Roman"/>
          <w:color w:val="auto"/>
          <w:szCs w:val="24"/>
        </w:rPr>
        <w:t>HISTORICAL NOTE:</w:t>
      </w:r>
      <w:r w:rsidRPr="0024669A">
        <w:rPr>
          <w:rFonts w:ascii="Times New Roman" w:hAnsi="Times New Roman"/>
          <w:color w:val="auto"/>
          <w:szCs w:val="24"/>
        </w:rPr>
        <w:tab/>
        <w:t xml:space="preserve">Promulgated by the Department of Environmental Quality, Office of Air Quality and Nuclear Energy, Air Quality Division, LR 13:741 (December 1987), amended LR 15:1065 (December 1989), repromulgated LR 16:27 (January 1990), amended by the Office of Air Quality and Radiation Protection, Air Quality Division, LR 17:360 (April 1991), LR 18:1121 (October 1992), LR 20:1376 (December 1994), LR 21:1223 (November 1995), repromulgated LR 21:1333 (December 1995), amended LR 22:453 (June 1996), LR 22:1212 (December 1996), LR 24:20 (January 1998), LR 24:2242 (December 1998), LR 25:657 (April 1999), LR 25:852 (May 1999), amended by the Office of Environmental Assessment, Environmental Planning Division, LR 26:2452 (November 2000), LR 28:1763 (August 2002), LR 30:1671 (August 2004), amended by the Office of the Secretary, Legal Affairs Division, LR 31:2439 (October 2005), LR 33:447 (March 2007), LR 33:2085 (October 2007), </w:t>
      </w:r>
      <w:r w:rsidRPr="0024669A">
        <w:rPr>
          <w:rFonts w:ascii="Times New Roman" w:eastAsia="Calibri" w:hAnsi="Times New Roman"/>
          <w:color w:val="auto"/>
          <w:szCs w:val="24"/>
        </w:rPr>
        <w:t>LR 36:2271 (October 2010)</w:t>
      </w:r>
      <w:r w:rsidRPr="0024669A">
        <w:rPr>
          <w:rFonts w:ascii="Times New Roman" w:hAnsi="Times New Roman"/>
          <w:color w:val="auto"/>
          <w:szCs w:val="24"/>
        </w:rPr>
        <w:t>, amended by the Office of the Secretary, Legal Division, LR 38:2751 (November 2012), amended by the Office of the Secretary, Legal Affairs Division, LR 5</w:t>
      </w:r>
      <w:r w:rsidR="00313F1F">
        <w:rPr>
          <w:rFonts w:ascii="Times New Roman" w:hAnsi="Times New Roman"/>
          <w:color w:val="auto"/>
          <w:szCs w:val="24"/>
        </w:rPr>
        <w:t>1</w:t>
      </w:r>
      <w:bookmarkStart w:id="1" w:name="_GoBack"/>
      <w:bookmarkEnd w:id="1"/>
      <w:r w:rsidRPr="0024669A">
        <w:rPr>
          <w:rFonts w:ascii="Times New Roman" w:hAnsi="Times New Roman"/>
          <w:color w:val="auto"/>
          <w:szCs w:val="24"/>
        </w:rPr>
        <w:t>:</w:t>
      </w:r>
    </w:p>
    <w:sectPr w:rsidR="0024669A" w:rsidSect="00313F1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15C9" w14:textId="77777777" w:rsidR="00A80351" w:rsidRDefault="00A80351" w:rsidP="008C4A02">
      <w:r>
        <w:separator/>
      </w:r>
    </w:p>
  </w:endnote>
  <w:endnote w:type="continuationSeparator" w:id="0">
    <w:p w14:paraId="16D09CBB" w14:textId="77777777" w:rsidR="00A80351" w:rsidRDefault="00A80351"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D302" w14:textId="77777777" w:rsidR="00A80351" w:rsidRDefault="00A80351" w:rsidP="008C4A02">
      <w:r>
        <w:separator/>
      </w:r>
    </w:p>
  </w:footnote>
  <w:footnote w:type="continuationSeparator" w:id="0">
    <w:p w14:paraId="2CF2681B" w14:textId="77777777" w:rsidR="00A80351" w:rsidRDefault="00A80351"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194359EE"/>
    <w:multiLevelType w:val="hybridMultilevel"/>
    <w:tmpl w:val="29A63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C64FC"/>
    <w:multiLevelType w:val="hybridMultilevel"/>
    <w:tmpl w:val="EA0A1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04D1C"/>
    <w:multiLevelType w:val="hybridMultilevel"/>
    <w:tmpl w:val="FA485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DC4A98"/>
    <w:multiLevelType w:val="hybridMultilevel"/>
    <w:tmpl w:val="65247C50"/>
    <w:lvl w:ilvl="0" w:tplc="1C34632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935A7"/>
    <w:multiLevelType w:val="hybridMultilevel"/>
    <w:tmpl w:val="F90A9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1"/>
  </w:num>
  <w:num w:numId="5">
    <w:abstractNumId w:val="5"/>
  </w:num>
  <w:num w:numId="6">
    <w:abstractNumId w:val="9"/>
  </w:num>
  <w:num w:numId="7">
    <w:abstractNumId w:val="10"/>
  </w:num>
  <w:num w:numId="8">
    <w:abstractNumId w:val="4"/>
  </w:num>
  <w:num w:numId="9">
    <w:abstractNumId w:val="13"/>
  </w:num>
  <w:num w:numId="10">
    <w:abstractNumId w:val="8"/>
  </w:num>
  <w:num w:numId="11">
    <w:abstractNumId w:val="2"/>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50AED"/>
    <w:rsid w:val="00081BF3"/>
    <w:rsid w:val="00082CD2"/>
    <w:rsid w:val="000A17AB"/>
    <w:rsid w:val="001649FC"/>
    <w:rsid w:val="0017184E"/>
    <w:rsid w:val="00194407"/>
    <w:rsid w:val="00196CF1"/>
    <w:rsid w:val="00223610"/>
    <w:rsid w:val="0024669A"/>
    <w:rsid w:val="00287A7E"/>
    <w:rsid w:val="002E4D3C"/>
    <w:rsid w:val="00313F1F"/>
    <w:rsid w:val="0031758E"/>
    <w:rsid w:val="003455EA"/>
    <w:rsid w:val="003A1960"/>
    <w:rsid w:val="0041055E"/>
    <w:rsid w:val="00426DDD"/>
    <w:rsid w:val="00466DE2"/>
    <w:rsid w:val="004815F6"/>
    <w:rsid w:val="00493842"/>
    <w:rsid w:val="004B5604"/>
    <w:rsid w:val="004E7E20"/>
    <w:rsid w:val="004F6187"/>
    <w:rsid w:val="00536D02"/>
    <w:rsid w:val="005B49F9"/>
    <w:rsid w:val="00613CD4"/>
    <w:rsid w:val="00625862"/>
    <w:rsid w:val="00646EDF"/>
    <w:rsid w:val="006705EA"/>
    <w:rsid w:val="00680EAE"/>
    <w:rsid w:val="0068124F"/>
    <w:rsid w:val="0069213B"/>
    <w:rsid w:val="0069705F"/>
    <w:rsid w:val="006C1C27"/>
    <w:rsid w:val="007572A1"/>
    <w:rsid w:val="007E34EE"/>
    <w:rsid w:val="00804B16"/>
    <w:rsid w:val="00825FE1"/>
    <w:rsid w:val="008B0D21"/>
    <w:rsid w:val="008B6D06"/>
    <w:rsid w:val="008C4A02"/>
    <w:rsid w:val="00971B4D"/>
    <w:rsid w:val="00981772"/>
    <w:rsid w:val="009F6411"/>
    <w:rsid w:val="00A80351"/>
    <w:rsid w:val="00AD58F2"/>
    <w:rsid w:val="00AD59F1"/>
    <w:rsid w:val="00B07172"/>
    <w:rsid w:val="00B160E2"/>
    <w:rsid w:val="00C03B73"/>
    <w:rsid w:val="00C10B50"/>
    <w:rsid w:val="00C46FDC"/>
    <w:rsid w:val="00C7107E"/>
    <w:rsid w:val="00C8683C"/>
    <w:rsid w:val="00CA36A4"/>
    <w:rsid w:val="00CB3B87"/>
    <w:rsid w:val="00CD5612"/>
    <w:rsid w:val="00CE3593"/>
    <w:rsid w:val="00D00769"/>
    <w:rsid w:val="00D21AFB"/>
    <w:rsid w:val="00D26A97"/>
    <w:rsid w:val="00D42DCA"/>
    <w:rsid w:val="00D7095D"/>
    <w:rsid w:val="00DB1958"/>
    <w:rsid w:val="00DC2295"/>
    <w:rsid w:val="00E12B63"/>
    <w:rsid w:val="00E64426"/>
    <w:rsid w:val="00ED35DC"/>
    <w:rsid w:val="00F11475"/>
    <w:rsid w:val="00F71E4F"/>
    <w:rsid w:val="00FC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odyTextIndent">
    <w:name w:val="Body Text Indent"/>
    <w:basedOn w:val="Normal"/>
    <w:link w:val="BodyTextIndentChar"/>
    <w:uiPriority w:val="99"/>
    <w:semiHidden/>
    <w:unhideWhenUsed/>
    <w:rsid w:val="00466DE2"/>
    <w:pPr>
      <w:spacing w:after="120"/>
      <w:ind w:left="360"/>
    </w:pPr>
  </w:style>
  <w:style w:type="character" w:customStyle="1" w:styleId="BodyTextIndentChar">
    <w:name w:val="Body Text Indent Char"/>
    <w:basedOn w:val="DefaultParagraphFont"/>
    <w:link w:val="BodyTextIndent"/>
    <w:uiPriority w:val="99"/>
    <w:semiHidden/>
    <w:rsid w:val="00466DE2"/>
  </w:style>
  <w:style w:type="paragraph" w:styleId="Revision">
    <w:name w:val="Revision"/>
    <w:hidden/>
    <w:uiPriority w:val="99"/>
    <w:semiHidden/>
    <w:rsid w:val="00C8683C"/>
  </w:style>
  <w:style w:type="paragraph" w:styleId="ListParagraph">
    <w:name w:val="List Paragraph"/>
    <w:basedOn w:val="Normal"/>
    <w:uiPriority w:val="34"/>
    <w:qFormat/>
    <w:rsid w:val="00CA36A4"/>
    <w:pPr>
      <w:ind w:left="720"/>
      <w:contextualSpacing/>
    </w:pPr>
  </w:style>
  <w:style w:type="character" w:customStyle="1" w:styleId="apple-converted-space">
    <w:name w:val="apple-converted-space"/>
    <w:basedOn w:val="DefaultParagraphFont"/>
    <w:rsid w:val="003A1960"/>
  </w:style>
  <w:style w:type="paragraph" w:styleId="BalloonText">
    <w:name w:val="Balloon Text"/>
    <w:basedOn w:val="Normal"/>
    <w:link w:val="BalloonTextChar"/>
    <w:uiPriority w:val="99"/>
    <w:semiHidden/>
    <w:unhideWhenUsed/>
    <w:rsid w:val="00536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02"/>
    <w:rPr>
      <w:rFonts w:ascii="Segoe UI" w:hAnsi="Segoe UI" w:cs="Segoe UI"/>
      <w:sz w:val="18"/>
      <w:szCs w:val="18"/>
    </w:rPr>
  </w:style>
  <w:style w:type="paragraph" w:customStyle="1" w:styleId="Section">
    <w:name w:val="Section"/>
    <w:basedOn w:val="Normal"/>
    <w:rsid w:val="0024669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8DDB7-C6F3-4752-B3A1-DC4246C3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2025-04-03T13:35:00Z</cp:lastPrinted>
  <dcterms:created xsi:type="dcterms:W3CDTF">2025-08-06T18:22:00Z</dcterms:created>
  <dcterms:modified xsi:type="dcterms:W3CDTF">2025-08-06T18:22:00Z</dcterms:modified>
</cp:coreProperties>
</file>