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2D41" w14:textId="77777777" w:rsidR="00D86069" w:rsidRPr="006A0A24" w:rsidRDefault="00D86069" w:rsidP="00D86069">
      <w:pPr>
        <w:widowControl w:val="0"/>
        <w:tabs>
          <w:tab w:val="left" w:pos="720"/>
        </w:tabs>
        <w:jc w:val="center"/>
        <w:rPr>
          <w:rFonts w:ascii="Times New Roman" w:eastAsia="Times New Roman" w:hAnsi="Times New Roman" w:cs="Times New Roman"/>
          <w:b/>
          <w:kern w:val="28"/>
        </w:rPr>
      </w:pPr>
      <w:r w:rsidRPr="006A0A24">
        <w:rPr>
          <w:rFonts w:ascii="Times New Roman" w:eastAsia="Times New Roman" w:hAnsi="Times New Roman" w:cs="Times New Roman"/>
          <w:b/>
          <w:kern w:val="28"/>
        </w:rPr>
        <w:t>Title 33</w:t>
      </w:r>
    </w:p>
    <w:p w14:paraId="3A9207AE" w14:textId="77777777" w:rsidR="00D86069" w:rsidRPr="006A0A24" w:rsidRDefault="00D86069" w:rsidP="00D86069">
      <w:pPr>
        <w:widowControl w:val="0"/>
        <w:tabs>
          <w:tab w:val="left" w:pos="720"/>
        </w:tabs>
        <w:jc w:val="center"/>
        <w:outlineLvl w:val="0"/>
        <w:rPr>
          <w:rFonts w:ascii="Times New Roman" w:eastAsia="Times New Roman" w:hAnsi="Times New Roman" w:cs="Times New Roman"/>
          <w:b/>
          <w:kern w:val="2"/>
        </w:rPr>
      </w:pPr>
      <w:bookmarkStart w:id="0" w:name="TitleName"/>
      <w:bookmarkStart w:id="1" w:name="PlaceKeeper"/>
      <w:r w:rsidRPr="006A0A24">
        <w:rPr>
          <w:rFonts w:ascii="Times New Roman" w:eastAsia="Times New Roman" w:hAnsi="Times New Roman" w:cs="Times New Roman"/>
          <w:b/>
          <w:kern w:val="2"/>
        </w:rPr>
        <w:t>ENVIRONMENTAL QUALITY</w:t>
      </w:r>
      <w:bookmarkEnd w:id="0"/>
      <w:bookmarkEnd w:id="1"/>
    </w:p>
    <w:p w14:paraId="0F3D7BBA" w14:textId="77777777" w:rsidR="00D86069" w:rsidRPr="006A0A24" w:rsidRDefault="00D86069" w:rsidP="00D86069">
      <w:pPr>
        <w:widowControl w:val="0"/>
        <w:tabs>
          <w:tab w:val="left" w:pos="720"/>
        </w:tabs>
        <w:jc w:val="center"/>
        <w:outlineLvl w:val="0"/>
        <w:rPr>
          <w:rFonts w:ascii="Times New Roman" w:eastAsia="Times New Roman" w:hAnsi="Times New Roman" w:cs="Times New Roman"/>
          <w:b/>
          <w:kern w:val="2"/>
        </w:rPr>
      </w:pPr>
      <w:bookmarkStart w:id="2" w:name="TOC_Part0"/>
      <w:r w:rsidRPr="006A0A24">
        <w:rPr>
          <w:rFonts w:ascii="Times New Roman" w:eastAsia="Times New Roman" w:hAnsi="Times New Roman" w:cs="Times New Roman"/>
          <w:b/>
          <w:kern w:val="2"/>
        </w:rPr>
        <w:t>Part XV.  Radiation Protection</w:t>
      </w:r>
      <w:bookmarkEnd w:id="2"/>
    </w:p>
    <w:p w14:paraId="44C0360F"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p>
    <w:p w14:paraId="1CE6ACBA"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Chapter 4.</w:t>
      </w:r>
      <w:r w:rsidRPr="006A0A24">
        <w:rPr>
          <w:rFonts w:ascii="Times New Roman" w:eastAsia="Times New Roman" w:hAnsi="Times New Roman" w:cs="Times New Roman"/>
          <w:b/>
          <w:kern w:val="2"/>
        </w:rPr>
        <w:tab/>
        <w:t>Standards for Protection against Radiation</w:t>
      </w:r>
    </w:p>
    <w:p w14:paraId="587D15CA" w14:textId="77777777" w:rsidR="00D86069" w:rsidRPr="006A0A24" w:rsidRDefault="00D86069" w:rsidP="00D86069">
      <w:pPr>
        <w:widowControl w:val="0"/>
        <w:tabs>
          <w:tab w:val="left" w:pos="720"/>
          <w:tab w:val="left" w:pos="1440"/>
          <w:tab w:val="left" w:pos="180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C.</w:t>
      </w:r>
      <w:r w:rsidRPr="006A0A24">
        <w:rPr>
          <w:rFonts w:ascii="Times New Roman" w:eastAsia="Times New Roman" w:hAnsi="Times New Roman" w:cs="Times New Roman"/>
          <w:b/>
          <w:kern w:val="2"/>
        </w:rPr>
        <w:tab/>
        <w:t>Surveys and Monitoring</w:t>
      </w:r>
    </w:p>
    <w:p w14:paraId="51B9C564"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§430.</w:t>
      </w:r>
      <w:r w:rsidRPr="006A0A24">
        <w:rPr>
          <w:rFonts w:ascii="Times New Roman" w:eastAsia="Times New Roman" w:hAnsi="Times New Roman" w:cs="Times New Roman"/>
          <w:b/>
          <w:kern w:val="2"/>
        </w:rPr>
        <w:tab/>
        <w:t xml:space="preserve">General </w:t>
      </w:r>
    </w:p>
    <w:p w14:paraId="5ED67374"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rPr>
      </w:pPr>
      <w:r w:rsidRPr="006A0A24">
        <w:rPr>
          <w:rFonts w:ascii="Times New Roman" w:eastAsia="Times New Roman" w:hAnsi="Times New Roman" w:cs="Times New Roman"/>
          <w:kern w:val="2"/>
        </w:rPr>
        <w:tab/>
        <w:t xml:space="preserve">A. </w:t>
      </w:r>
      <w:r w:rsidRPr="006A0A24">
        <w:rPr>
          <w:rFonts w:ascii="Times New Roman" w:eastAsia="Times New Roman" w:hAnsi="Times New Roman" w:cs="Times New Roman"/>
          <w:b/>
          <w:kern w:val="2"/>
        </w:rPr>
        <w:t xml:space="preserve">— </w:t>
      </w:r>
      <w:r w:rsidRPr="006A0A24">
        <w:rPr>
          <w:rFonts w:ascii="Times New Roman" w:eastAsia="Times New Roman" w:hAnsi="Times New Roman" w:cs="Times New Roman"/>
          <w:kern w:val="2"/>
        </w:rPr>
        <w:t>C.2.</w:t>
      </w:r>
      <w:r w:rsidRPr="006A0A24">
        <w:rPr>
          <w:rFonts w:ascii="Times New Roman" w:eastAsia="Times New Roman" w:hAnsi="Times New Roman" w:cs="Times New Roman"/>
          <w:kern w:val="2"/>
        </w:rPr>
        <w:tab/>
        <w:t>…</w:t>
      </w:r>
    </w:p>
    <w:p w14:paraId="64181915"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u w:val="single"/>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u w:val="single"/>
        </w:rPr>
        <w:t>3.</w:t>
      </w:r>
      <w:r w:rsidRPr="006A0A24">
        <w:rPr>
          <w:rFonts w:ascii="Times New Roman" w:eastAsia="Times New Roman" w:hAnsi="Times New Roman" w:cs="Times New Roman"/>
          <w:kern w:val="2"/>
          <w:u w:val="single"/>
        </w:rPr>
        <w:tab/>
        <w:t>No licensee or registrant shall subtract radiation exposures from official personnel monitoring records without the prior written approval of the department.</w:t>
      </w:r>
    </w:p>
    <w:p w14:paraId="0B8722B5"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kern w:val="2"/>
        </w:rPr>
      </w:pPr>
      <w:r w:rsidRPr="006A0A24">
        <w:rPr>
          <w:rFonts w:ascii="Times New Roman" w:eastAsia="Times New Roman" w:hAnsi="Times New Roman" w:cs="Times New Roman"/>
          <w:kern w:val="2"/>
        </w:rPr>
        <w:tab/>
        <w:t>D. — E.</w:t>
      </w:r>
      <w:r w:rsidRPr="006A0A24">
        <w:rPr>
          <w:rFonts w:ascii="Times New Roman" w:eastAsia="Times New Roman" w:hAnsi="Times New Roman" w:cs="Times New Roman"/>
          <w:kern w:val="2"/>
        </w:rPr>
        <w:tab/>
        <w:t>…</w:t>
      </w:r>
    </w:p>
    <w:p w14:paraId="5A4B38B1" w14:textId="77777777" w:rsidR="00D86069" w:rsidRPr="006A0A24" w:rsidRDefault="00D86069" w:rsidP="00D86069">
      <w:pPr>
        <w:tabs>
          <w:tab w:val="left" w:pos="720"/>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 and 2104(B).</w:t>
      </w:r>
    </w:p>
    <w:p w14:paraId="12CACE52" w14:textId="77777777" w:rsidR="00D86069" w:rsidRPr="006A0A24" w:rsidRDefault="00D86069" w:rsidP="00D86069">
      <w:pPr>
        <w:tabs>
          <w:tab w:val="left" w:pos="720"/>
        </w:tabs>
        <w:ind w:firstLine="187"/>
        <w:rPr>
          <w:rFonts w:ascii="Times New Roman" w:eastAsia="Times New Roman" w:hAnsi="Times New Roman" w:cs="Times New Roman"/>
          <w:kern w:val="2"/>
        </w:rPr>
      </w:pP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Air Quality and Radiation Protection, Radiation Protection Division, LR 19:1421 (November 1993), amended LR 20:653 (June 1994), LR 22:971 (October 1996), amended by the Office of Environmental Assessment, Environmental Planning Division, LR 29:1468 (August 2003), amended by the Office of the Secretary, Legal Affairs Division, LR 31:2529 (October 2005), LR 33:2181 (October 2007), amended by the Office of the Secretary, Legal Division, LR 41:2134 (October 2015), amended by the Office of the Secretary, Legal Affairs Division LR 50:</w:t>
      </w:r>
      <w:proofErr w:type="gramEnd"/>
    </w:p>
    <w:p w14:paraId="0959E879"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p>
    <w:p w14:paraId="593824C6" w14:textId="77777777" w:rsidR="00D86069" w:rsidRPr="006A0A24" w:rsidRDefault="00D86069" w:rsidP="00D86069">
      <w:pPr>
        <w:widowControl w:val="0"/>
        <w:tabs>
          <w:tab w:val="left" w:pos="720"/>
          <w:tab w:val="left" w:pos="1440"/>
          <w:tab w:val="left" w:pos="180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G.</w:t>
      </w:r>
      <w:r w:rsidRPr="006A0A24">
        <w:rPr>
          <w:rFonts w:ascii="Times New Roman" w:eastAsia="Times New Roman" w:hAnsi="Times New Roman" w:cs="Times New Roman"/>
          <w:b/>
          <w:kern w:val="2"/>
        </w:rPr>
        <w:tab/>
        <w:t>Precautionary Procedures</w:t>
      </w:r>
    </w:p>
    <w:p w14:paraId="59E7B052" w14:textId="77777777" w:rsidR="00D86069" w:rsidRPr="006A0A24" w:rsidRDefault="00D86069" w:rsidP="00D86069">
      <w:pPr>
        <w:widowControl w:val="0"/>
        <w:tabs>
          <w:tab w:val="left" w:pos="720"/>
        </w:tabs>
        <w:spacing w:line="480" w:lineRule="auto"/>
        <w:rPr>
          <w:rFonts w:ascii="Times New Roman" w:eastAsia="Times New Roman" w:hAnsi="Times New Roman" w:cs="Times New Roman"/>
          <w:b/>
          <w:kern w:val="2"/>
        </w:rPr>
      </w:pPr>
      <w:r w:rsidRPr="006A0A24">
        <w:rPr>
          <w:rFonts w:ascii="Times New Roman" w:eastAsia="Times New Roman" w:hAnsi="Times New Roman" w:cs="Times New Roman"/>
          <w:b/>
          <w:kern w:val="2"/>
        </w:rPr>
        <w:t>§455.</w:t>
      </w:r>
      <w:r w:rsidRPr="006A0A24">
        <w:rPr>
          <w:rFonts w:ascii="Times New Roman" w:eastAsia="Times New Roman" w:hAnsi="Times New Roman" w:cs="Times New Roman"/>
          <w:b/>
          <w:kern w:val="2"/>
        </w:rPr>
        <w:tab/>
        <w:t>Procedures for Receiving and Opening Packages</w:t>
      </w:r>
    </w:p>
    <w:p w14:paraId="28642550" w14:textId="77777777" w:rsidR="00D86069" w:rsidRPr="006A0A24" w:rsidRDefault="00D86069" w:rsidP="00D86069">
      <w:pPr>
        <w:tabs>
          <w:tab w:val="left" w:pos="720"/>
        </w:tabs>
        <w:spacing w:line="480" w:lineRule="auto"/>
        <w:outlineLvl w:val="3"/>
        <w:rPr>
          <w:rFonts w:ascii="Times New Roman" w:eastAsia="Calibri" w:hAnsi="Times New Roman" w:cs="Times New Roman"/>
          <w:kern w:val="2"/>
        </w:rPr>
      </w:pPr>
      <w:r w:rsidRPr="006A0A24">
        <w:rPr>
          <w:rFonts w:ascii="Times New Roman" w:eastAsia="Calibri" w:hAnsi="Times New Roman" w:cs="Times New Roman"/>
          <w:kern w:val="2"/>
        </w:rPr>
        <w:tab/>
        <w:t>A. — D.</w:t>
      </w:r>
      <w:r w:rsidRPr="006A0A24">
        <w:rPr>
          <w:rFonts w:ascii="Times New Roman" w:eastAsia="Calibri" w:hAnsi="Times New Roman" w:cs="Times New Roman"/>
          <w:kern w:val="2"/>
        </w:rPr>
        <w:tab/>
        <w:t>…</w:t>
      </w:r>
    </w:p>
    <w:p w14:paraId="24F83AA4" w14:textId="77777777" w:rsidR="00D86069" w:rsidRPr="006A0A24" w:rsidRDefault="00D86069" w:rsidP="00D86069">
      <w:pPr>
        <w:tabs>
          <w:tab w:val="left" w:pos="720"/>
        </w:tabs>
        <w:spacing w:line="480" w:lineRule="auto"/>
        <w:outlineLvl w:val="3"/>
        <w:rPr>
          <w:rFonts w:ascii="Times New Roman" w:eastAsia="Calibri" w:hAnsi="Times New Roman" w:cs="Times New Roman"/>
          <w:kern w:val="2"/>
        </w:rPr>
      </w:pPr>
      <w:r w:rsidRPr="006A0A24">
        <w:rPr>
          <w:rFonts w:ascii="Times New Roman" w:eastAsia="Calibri" w:hAnsi="Times New Roman" w:cs="Times New Roman"/>
          <w:kern w:val="2"/>
        </w:rPr>
        <w:tab/>
      </w:r>
      <w:r w:rsidRPr="006A0A24">
        <w:rPr>
          <w:rFonts w:ascii="Times New Roman" w:eastAsia="Calibri" w:hAnsi="Times New Roman" w:cs="Times New Roman"/>
          <w:kern w:val="2"/>
        </w:rPr>
        <w:tab/>
        <w:t>1.</w:t>
      </w:r>
      <w:r w:rsidRPr="006A0A24">
        <w:rPr>
          <w:rFonts w:ascii="Times New Roman" w:eastAsia="Calibri" w:hAnsi="Times New Roman" w:cs="Times New Roman"/>
          <w:kern w:val="2"/>
        </w:rPr>
        <w:tab/>
      </w:r>
      <w:proofErr w:type="gramStart"/>
      <w:r w:rsidRPr="006A0A24">
        <w:rPr>
          <w:rFonts w:ascii="Times New Roman" w:eastAsia="Calibri" w:hAnsi="Times New Roman" w:cs="Times New Roman"/>
          <w:kern w:val="2"/>
        </w:rPr>
        <w:t>removable</w:t>
      </w:r>
      <w:proofErr w:type="gramEnd"/>
      <w:r w:rsidRPr="006A0A24">
        <w:rPr>
          <w:rFonts w:ascii="Times New Roman" w:eastAsia="Calibri" w:hAnsi="Times New Roman" w:cs="Times New Roman"/>
          <w:kern w:val="2"/>
        </w:rPr>
        <w:t xml:space="preserve"> radioactive surface contamination exceeds the limits of LAC 33:XV.1516.</w:t>
      </w:r>
      <w:r w:rsidRPr="006A0A24">
        <w:rPr>
          <w:rFonts w:ascii="Times New Roman" w:eastAsia="Calibri" w:hAnsi="Times New Roman" w:cs="Times New Roman"/>
          <w:strike/>
          <w:kern w:val="2"/>
        </w:rPr>
        <w:t>A</w:t>
      </w:r>
      <w:r w:rsidRPr="006A0A24">
        <w:rPr>
          <w:rFonts w:ascii="Times New Roman" w:eastAsia="Calibri" w:hAnsi="Times New Roman" w:cs="Times New Roman"/>
          <w:kern w:val="2"/>
          <w:u w:val="single"/>
        </w:rPr>
        <w:t>B</w:t>
      </w:r>
      <w:r w:rsidRPr="006A0A24">
        <w:rPr>
          <w:rFonts w:ascii="Times New Roman" w:eastAsia="Calibri" w:hAnsi="Times New Roman" w:cs="Times New Roman"/>
          <w:kern w:val="2"/>
        </w:rPr>
        <w:t>.9; or</w:t>
      </w:r>
    </w:p>
    <w:p w14:paraId="61EE717B"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t>2.</w:t>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external</w:t>
      </w:r>
      <w:proofErr w:type="gramEnd"/>
      <w:r w:rsidRPr="006A0A24">
        <w:rPr>
          <w:rFonts w:ascii="Times New Roman" w:eastAsia="Times New Roman" w:hAnsi="Times New Roman" w:cs="Times New Roman"/>
          <w:kern w:val="2"/>
        </w:rPr>
        <w:t xml:space="preserve"> radiation levels exceed the limits of LAC 33:XV.1516.</w:t>
      </w:r>
      <w:r w:rsidRPr="006A0A24">
        <w:rPr>
          <w:rFonts w:ascii="Times New Roman" w:eastAsia="Times New Roman" w:hAnsi="Times New Roman" w:cs="Times New Roman"/>
          <w:strike/>
          <w:kern w:val="2"/>
        </w:rPr>
        <w:t xml:space="preserve"> A</w:t>
      </w:r>
      <w:r w:rsidRPr="006A0A24">
        <w:rPr>
          <w:rFonts w:ascii="Times New Roman" w:eastAsia="Times New Roman" w:hAnsi="Times New Roman" w:cs="Times New Roman"/>
          <w:kern w:val="2"/>
          <w:u w:val="single"/>
        </w:rPr>
        <w:t>B</w:t>
      </w:r>
      <w:r w:rsidRPr="006A0A24">
        <w:rPr>
          <w:rFonts w:ascii="Times New Roman" w:eastAsia="Times New Roman" w:hAnsi="Times New Roman" w:cs="Times New Roman"/>
          <w:kern w:val="2"/>
        </w:rPr>
        <w:t>.10.</w:t>
      </w:r>
    </w:p>
    <w:p w14:paraId="1384559A"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t>E. — F.</w:t>
      </w:r>
      <w:r w:rsidRPr="006A0A24">
        <w:rPr>
          <w:rFonts w:ascii="Times New Roman" w:eastAsia="Times New Roman" w:hAnsi="Times New Roman" w:cs="Times New Roman"/>
          <w:kern w:val="2"/>
        </w:rPr>
        <w:tab/>
        <w:t>…</w:t>
      </w:r>
    </w:p>
    <w:p w14:paraId="56D4A739" w14:textId="77777777" w:rsidR="00D86069" w:rsidRPr="006A0A24" w:rsidRDefault="00D86069" w:rsidP="00D86069">
      <w:pPr>
        <w:numPr>
          <w:ilvl w:val="0"/>
          <w:numId w:val="10"/>
        </w:numPr>
        <w:tabs>
          <w:tab w:val="left" w:pos="720"/>
        </w:tabs>
        <w:spacing w:after="160" w:line="480" w:lineRule="auto"/>
        <w:ind w:left="0" w:firstLine="0"/>
        <w:jc w:val="center"/>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lastRenderedPageBreak/>
        <w:t>* * *</w:t>
      </w:r>
    </w:p>
    <w:p w14:paraId="37200AFA" w14:textId="77777777" w:rsidR="00D86069" w:rsidRPr="006A0A24" w:rsidRDefault="00D86069" w:rsidP="00D86069">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t>AUTHORITY NOTE:</w:t>
      </w:r>
      <w:r w:rsidRPr="006A0A24">
        <w:rPr>
          <w:rFonts w:ascii="Times New Roman" w:eastAsia="Times New Roman" w:hAnsi="Times New Roman" w:cs="Times New Roman"/>
          <w:kern w:val="2"/>
        </w:rPr>
        <w:tab/>
        <w:t>Promulgated in accordance with R.S. 30:2001 et seq.</w:t>
      </w:r>
    </w:p>
    <w:p w14:paraId="6351E76B" w14:textId="77777777" w:rsidR="00D86069" w:rsidRPr="006A0A24" w:rsidRDefault="00D86069" w:rsidP="00D86069">
      <w:pPr>
        <w:widowControl w:val="0"/>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Nuclear Energy Division, LR 13:569 (October 1987), amended by the Office of Air Quality and Radiation Protection, Radiation Protection Division, LR 19:1421 (November 1993), LR 22:973 (October 1996), amended by the Office of Environmental Assessment, Environmental Planning Division, LR 26:2577 (November 2000), LR 28:1951 (September 2002), amended by the Office of the Secretary, Legal Affairs Division, LR 34:2103 (October 2008), LR 50:</w:t>
      </w:r>
      <w:proofErr w:type="gramEnd"/>
    </w:p>
    <w:p w14:paraId="5827E277"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bookmarkStart w:id="3" w:name="_Toc435609311"/>
      <w:bookmarkStart w:id="4" w:name="TOC_Sect481"/>
    </w:p>
    <w:p w14:paraId="0D27CCF8" w14:textId="77777777" w:rsidR="00D86069" w:rsidRPr="006A0A24" w:rsidRDefault="00D86069" w:rsidP="00D86069">
      <w:pPr>
        <w:widowControl w:val="0"/>
        <w:tabs>
          <w:tab w:val="left" w:pos="720"/>
          <w:tab w:val="left" w:pos="1440"/>
          <w:tab w:val="left" w:pos="1800"/>
        </w:tabs>
        <w:spacing w:line="480" w:lineRule="auto"/>
        <w:outlineLvl w:val="2"/>
        <w:rPr>
          <w:rFonts w:ascii="Times New Roman" w:eastAsia="Times New Roman" w:hAnsi="Times New Roman" w:cs="Times New Roman"/>
          <w:b/>
          <w:kern w:val="2"/>
        </w:rPr>
      </w:pPr>
      <w:r w:rsidRPr="006A0A24">
        <w:rPr>
          <w:rFonts w:ascii="Times New Roman" w:eastAsia="Times New Roman" w:hAnsi="Times New Roman" w:cs="Times New Roman"/>
          <w:b/>
          <w:kern w:val="2"/>
        </w:rPr>
        <w:t>Subchapter J.</w:t>
      </w:r>
      <w:r w:rsidRPr="006A0A24">
        <w:rPr>
          <w:rFonts w:ascii="Times New Roman" w:eastAsia="Times New Roman" w:hAnsi="Times New Roman" w:cs="Times New Roman"/>
          <w:b/>
          <w:kern w:val="2"/>
        </w:rPr>
        <w:tab/>
      </w:r>
      <w:r w:rsidRPr="006A0A24">
        <w:rPr>
          <w:rFonts w:ascii="Times New Roman" w:eastAsia="Times New Roman" w:hAnsi="Times New Roman" w:cs="Times New Roman"/>
          <w:b/>
          <w:kern w:val="2"/>
        </w:rPr>
        <w:tab/>
        <w:t>Reports</w:t>
      </w:r>
    </w:p>
    <w:p w14:paraId="4AEF027C"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r w:rsidRPr="006A0A24">
        <w:rPr>
          <w:rFonts w:ascii="Times New Roman" w:eastAsia="Times New Roman" w:hAnsi="Times New Roman" w:cs="Times New Roman"/>
          <w:b/>
          <w:kern w:val="2"/>
        </w:rPr>
        <w:t>§493.</w:t>
      </w:r>
      <w:r w:rsidRPr="006A0A24">
        <w:rPr>
          <w:rFonts w:ascii="Times New Roman" w:eastAsia="Times New Roman" w:hAnsi="Times New Roman" w:cs="Times New Roman"/>
          <w:b/>
          <w:kern w:val="2"/>
        </w:rPr>
        <w:tab/>
        <w:t>Reports of Transactions Involving Nationally Tracked Sources</w:t>
      </w:r>
      <w:bookmarkEnd w:id="3"/>
      <w:bookmarkEnd w:id="4"/>
    </w:p>
    <w:p w14:paraId="4E3F3852"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r w:rsidRPr="006A0A24">
        <w:rPr>
          <w:rFonts w:ascii="Times New Roman" w:eastAsia="Times New Roman" w:hAnsi="Times New Roman" w:cs="Times New Roman"/>
          <w:kern w:val="2"/>
        </w:rPr>
        <w:tab/>
        <w:t>A. — H.</w:t>
      </w:r>
      <w:r w:rsidRPr="006A0A24">
        <w:rPr>
          <w:rFonts w:ascii="Times New Roman" w:eastAsia="Times New Roman" w:hAnsi="Times New Roman" w:cs="Times New Roman"/>
          <w:kern w:val="2"/>
        </w:rPr>
        <w:tab/>
        <w:t>…</w:t>
      </w:r>
    </w:p>
    <w:p w14:paraId="6A60837E" w14:textId="77777777" w:rsidR="00D86069" w:rsidRPr="006A0A24" w:rsidRDefault="00D86069" w:rsidP="00D86069">
      <w:pPr>
        <w:tabs>
          <w:tab w:val="left" w:pos="720"/>
        </w:tabs>
        <w:spacing w:line="480" w:lineRule="auto"/>
        <w:outlineLvl w:val="3"/>
        <w:rPr>
          <w:rFonts w:ascii="Times New Roman" w:eastAsia="Calibri" w:hAnsi="Times New Roman" w:cs="Times New Roman"/>
          <w:strike/>
          <w:kern w:val="2"/>
        </w:rPr>
      </w:pPr>
      <w:r w:rsidRPr="006A0A24">
        <w:rPr>
          <w:rFonts w:ascii="Times New Roman" w:eastAsia="Calibri" w:hAnsi="Times New Roman" w:cs="Times New Roman"/>
          <w:kern w:val="2"/>
        </w:rPr>
        <w:tab/>
      </w:r>
      <w:r w:rsidRPr="006A0A24">
        <w:rPr>
          <w:rFonts w:ascii="Times New Roman" w:eastAsia="Calibri" w:hAnsi="Times New Roman" w:cs="Times New Roman"/>
          <w:strike/>
          <w:kern w:val="2"/>
        </w:rPr>
        <w:t>I.</w:t>
      </w:r>
      <w:r w:rsidRPr="006A0A24">
        <w:rPr>
          <w:rFonts w:ascii="Times New Roman" w:eastAsia="Calibri" w:hAnsi="Times New Roman" w:cs="Times New Roman"/>
          <w:strike/>
          <w:kern w:val="2"/>
        </w:rPr>
        <w:tab/>
        <w:t xml:space="preserve">Each licensee who possesses Category 1 nationally tracked sources shall report the initial inventory of the licensee’s Category 1 nationally tracked sources to the national source tracking system by January 31, 2009. Each licensee who possesses Category 2 nationally tracked sources shall report the initial inventory of the licensee's Category 2 nationally tracked sources to the national source tracking system by January 31, 2009. The information </w:t>
      </w:r>
      <w:proofErr w:type="gramStart"/>
      <w:r w:rsidRPr="006A0A24">
        <w:rPr>
          <w:rFonts w:ascii="Times New Roman" w:eastAsia="Calibri" w:hAnsi="Times New Roman" w:cs="Times New Roman"/>
          <w:strike/>
          <w:kern w:val="2"/>
        </w:rPr>
        <w:t>may be submitted</w:t>
      </w:r>
      <w:proofErr w:type="gramEnd"/>
      <w:r w:rsidRPr="006A0A24">
        <w:rPr>
          <w:rFonts w:ascii="Times New Roman" w:eastAsia="Calibri" w:hAnsi="Times New Roman" w:cs="Times New Roman"/>
          <w:strike/>
          <w:kern w:val="2"/>
        </w:rPr>
        <w:t xml:space="preserve"> by using any of the methods specified in Paragraphs G.1-4 of this Section. The initial inventory report must include the following information:</w:t>
      </w:r>
    </w:p>
    <w:p w14:paraId="13A17395"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1.</w:t>
      </w:r>
      <w:r w:rsidRPr="006A0A24">
        <w:rPr>
          <w:rFonts w:ascii="Times New Roman" w:eastAsia="Times New Roman" w:hAnsi="Times New Roman" w:cs="Times New Roman"/>
          <w:strike/>
          <w:kern w:val="2"/>
        </w:rPr>
        <w:tab/>
        <w:t>the name, address, and license number of the reporting licensee;</w:t>
      </w:r>
    </w:p>
    <w:p w14:paraId="33DBE9CE"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2.</w:t>
      </w:r>
      <w:r w:rsidRPr="006A0A24">
        <w:rPr>
          <w:rFonts w:ascii="Times New Roman" w:eastAsia="Times New Roman" w:hAnsi="Times New Roman" w:cs="Times New Roman"/>
          <w:strike/>
          <w:kern w:val="2"/>
        </w:rPr>
        <w:tab/>
        <w:t>the name of the individual preparing the report;</w:t>
      </w:r>
    </w:p>
    <w:p w14:paraId="16A5530A"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3.</w:t>
      </w:r>
      <w:r w:rsidRPr="006A0A24">
        <w:rPr>
          <w:rFonts w:ascii="Times New Roman" w:eastAsia="Times New Roman" w:hAnsi="Times New Roman" w:cs="Times New Roman"/>
          <w:strike/>
          <w:kern w:val="2"/>
        </w:rPr>
        <w:tab/>
        <w:t>the manufacturer, model, and serial number of each nationally tracked source or, if not available, other information to uniquely identify the source;</w:t>
      </w:r>
    </w:p>
    <w:p w14:paraId="5F6F59E2"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4.</w:t>
      </w:r>
      <w:r w:rsidRPr="006A0A24">
        <w:rPr>
          <w:rFonts w:ascii="Times New Roman" w:eastAsia="Times New Roman" w:hAnsi="Times New Roman" w:cs="Times New Roman"/>
          <w:strike/>
          <w:kern w:val="2"/>
        </w:rPr>
        <w:tab/>
        <w:t>the radioactive material in the sealed source;</w:t>
      </w:r>
    </w:p>
    <w:p w14:paraId="4DD8163B"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strike/>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5.</w:t>
      </w:r>
      <w:r w:rsidRPr="006A0A24">
        <w:rPr>
          <w:rFonts w:ascii="Times New Roman" w:eastAsia="Times New Roman" w:hAnsi="Times New Roman" w:cs="Times New Roman"/>
          <w:strike/>
          <w:kern w:val="2"/>
        </w:rPr>
        <w:tab/>
        <w:t xml:space="preserve">the initial or current source strength in </w:t>
      </w:r>
      <w:proofErr w:type="spellStart"/>
      <w:r w:rsidRPr="006A0A24">
        <w:rPr>
          <w:rFonts w:ascii="Times New Roman" w:eastAsia="Times New Roman" w:hAnsi="Times New Roman" w:cs="Times New Roman"/>
          <w:strike/>
          <w:kern w:val="2"/>
        </w:rPr>
        <w:t>becquerels</w:t>
      </w:r>
      <w:proofErr w:type="spellEnd"/>
      <w:r w:rsidRPr="006A0A24">
        <w:rPr>
          <w:rFonts w:ascii="Times New Roman" w:eastAsia="Times New Roman" w:hAnsi="Times New Roman" w:cs="Times New Roman"/>
          <w:strike/>
          <w:kern w:val="2"/>
        </w:rPr>
        <w:t xml:space="preserve"> (curies); and</w:t>
      </w:r>
    </w:p>
    <w:p w14:paraId="75D9BB2F" w14:textId="77777777" w:rsidR="00D86069" w:rsidRPr="006A0A24" w:rsidRDefault="00D86069" w:rsidP="00D86069">
      <w:pPr>
        <w:numPr>
          <w:ilvl w:val="0"/>
          <w:numId w:val="10"/>
        </w:numPr>
        <w:tabs>
          <w:tab w:val="left" w:pos="720"/>
        </w:tabs>
        <w:spacing w:after="160" w:line="480" w:lineRule="auto"/>
        <w:ind w:left="0" w:firstLine="0"/>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lastRenderedPageBreak/>
        <w:tab/>
      </w:r>
      <w:r w:rsidRPr="006A0A24">
        <w:rPr>
          <w:rFonts w:ascii="Times New Roman" w:eastAsia="Times New Roman" w:hAnsi="Times New Roman" w:cs="Times New Roman"/>
          <w:kern w:val="2"/>
        </w:rPr>
        <w:tab/>
      </w:r>
      <w:r w:rsidRPr="006A0A24">
        <w:rPr>
          <w:rFonts w:ascii="Times New Roman" w:eastAsia="Times New Roman" w:hAnsi="Times New Roman" w:cs="Times New Roman"/>
          <w:strike/>
          <w:kern w:val="2"/>
        </w:rPr>
        <w:t>6.</w:t>
      </w:r>
      <w:r w:rsidRPr="006A0A24">
        <w:rPr>
          <w:rFonts w:ascii="Times New Roman" w:eastAsia="Times New Roman" w:hAnsi="Times New Roman" w:cs="Times New Roman"/>
          <w:strike/>
          <w:kern w:val="2"/>
        </w:rPr>
        <w:tab/>
      </w:r>
      <w:proofErr w:type="gramStart"/>
      <w:r w:rsidRPr="006A0A24">
        <w:rPr>
          <w:rFonts w:ascii="Times New Roman" w:eastAsia="Times New Roman" w:hAnsi="Times New Roman" w:cs="Times New Roman"/>
          <w:strike/>
          <w:kern w:val="2"/>
        </w:rPr>
        <w:t>the</w:t>
      </w:r>
      <w:proofErr w:type="gramEnd"/>
      <w:r w:rsidRPr="006A0A24">
        <w:rPr>
          <w:rFonts w:ascii="Times New Roman" w:eastAsia="Times New Roman" w:hAnsi="Times New Roman" w:cs="Times New Roman"/>
          <w:strike/>
          <w:kern w:val="2"/>
        </w:rPr>
        <w:t xml:space="preserve"> date for which the source strength is reported.</w:t>
      </w:r>
    </w:p>
    <w:p w14:paraId="3CEEED8A" w14:textId="77777777" w:rsidR="00D86069" w:rsidRPr="006A0A24" w:rsidRDefault="00D86069" w:rsidP="00D86069">
      <w:pPr>
        <w:tabs>
          <w:tab w:val="left" w:pos="288"/>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w:t>
      </w:r>
    </w:p>
    <w:p w14:paraId="351B9D87" w14:textId="77777777" w:rsidR="00D86069" w:rsidRPr="006A0A24" w:rsidRDefault="00D86069" w:rsidP="00D86069">
      <w:pPr>
        <w:tabs>
          <w:tab w:val="left" w:pos="288"/>
        </w:tabs>
        <w:ind w:firstLine="187"/>
        <w:rPr>
          <w:rFonts w:ascii="Times New Roman" w:eastAsia="Times New Roman" w:hAnsi="Times New Roman" w:cs="Times New Roman"/>
          <w:b/>
          <w:kern w:val="2"/>
        </w:rPr>
      </w:pPr>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the Secretary, Legal Affairs Division, LR 33:2361 (November 2007), amended LR 34:243 (February 2008), LR 50:</w:t>
      </w:r>
    </w:p>
    <w:p w14:paraId="7F770813" w14:textId="77777777" w:rsidR="00D86069" w:rsidRPr="006A0A24" w:rsidRDefault="00D86069" w:rsidP="00D86069">
      <w:pPr>
        <w:widowControl w:val="0"/>
        <w:tabs>
          <w:tab w:val="left" w:pos="720"/>
        </w:tabs>
        <w:spacing w:line="480" w:lineRule="auto"/>
        <w:ind w:right="144"/>
        <w:outlineLvl w:val="1"/>
        <w:rPr>
          <w:rFonts w:ascii="Times New Roman" w:eastAsia="Calibri" w:hAnsi="Times New Roman" w:cs="Times New Roman"/>
          <w:b/>
          <w:kern w:val="2"/>
        </w:rPr>
      </w:pPr>
      <w:bookmarkStart w:id="5" w:name="TOC_Chap167"/>
      <w:bookmarkStart w:id="6" w:name="_Toc435609368"/>
      <w:r w:rsidRPr="006A0A24">
        <w:rPr>
          <w:rFonts w:ascii="Times New Roman" w:eastAsia="Calibri" w:hAnsi="Times New Roman" w:cs="Times New Roman"/>
          <w:b/>
          <w:kern w:val="2"/>
        </w:rPr>
        <w:t>Chapter 7.</w:t>
      </w:r>
      <w:bookmarkStart w:id="7" w:name="TOCT_Chap167"/>
      <w:bookmarkEnd w:id="5"/>
      <w:r w:rsidRPr="006A0A24">
        <w:rPr>
          <w:rFonts w:ascii="Times New Roman" w:eastAsia="Calibri" w:hAnsi="Times New Roman" w:cs="Times New Roman"/>
          <w:b/>
          <w:kern w:val="2"/>
        </w:rPr>
        <w:tab/>
        <w:t>Use of Radionuclides in the Healing Arts</w:t>
      </w:r>
      <w:bookmarkEnd w:id="6"/>
      <w:bookmarkEnd w:id="7"/>
    </w:p>
    <w:p w14:paraId="147DBE69" w14:textId="77777777" w:rsidR="00D86069" w:rsidRPr="006A0A24" w:rsidRDefault="00D86069" w:rsidP="00D86069">
      <w:pPr>
        <w:widowControl w:val="0"/>
        <w:tabs>
          <w:tab w:val="left" w:pos="720"/>
        </w:tabs>
        <w:spacing w:line="480" w:lineRule="auto"/>
        <w:ind w:left="720" w:hanging="720"/>
        <w:outlineLvl w:val="2"/>
        <w:rPr>
          <w:rFonts w:ascii="Times New Roman" w:eastAsia="Times New Roman" w:hAnsi="Times New Roman" w:cs="Times New Roman"/>
          <w:b/>
          <w:kern w:val="2"/>
        </w:rPr>
      </w:pPr>
      <w:bookmarkStart w:id="8" w:name="_Toc435609431"/>
      <w:bookmarkStart w:id="9" w:name="TOC_Sect590"/>
      <w:r w:rsidRPr="006A0A24">
        <w:rPr>
          <w:rFonts w:ascii="Times New Roman" w:eastAsia="Times New Roman" w:hAnsi="Times New Roman" w:cs="Times New Roman"/>
          <w:b/>
          <w:kern w:val="2"/>
        </w:rPr>
        <w:t>§763.</w:t>
      </w:r>
      <w:bookmarkEnd w:id="8"/>
      <w:bookmarkEnd w:id="9"/>
      <w:r w:rsidRPr="006A0A24">
        <w:rPr>
          <w:rFonts w:ascii="Times New Roman" w:eastAsia="Times New Roman" w:hAnsi="Times New Roman" w:cs="Times New Roman"/>
          <w:b/>
          <w:kern w:val="2"/>
        </w:rPr>
        <w:tab/>
        <w:t>Training</w:t>
      </w:r>
    </w:p>
    <w:p w14:paraId="36FE7F36" w14:textId="77777777" w:rsidR="00D86069" w:rsidRPr="006A0A24" w:rsidRDefault="00D86069" w:rsidP="00D86069">
      <w:pPr>
        <w:widowControl w:val="0"/>
        <w:tabs>
          <w:tab w:val="left" w:pos="720"/>
        </w:tabs>
        <w:spacing w:line="480" w:lineRule="auto"/>
        <w:outlineLvl w:val="2"/>
        <w:rPr>
          <w:rFonts w:ascii="Times New Roman" w:eastAsia="Calibri" w:hAnsi="Times New Roman" w:cs="Times New Roman"/>
        </w:rPr>
      </w:pPr>
      <w:r w:rsidRPr="006A0A24">
        <w:rPr>
          <w:rFonts w:ascii="Times New Roman" w:eastAsia="Calibri" w:hAnsi="Times New Roman" w:cs="Times New Roman"/>
        </w:rPr>
        <w:tab/>
        <w:t>A.</w:t>
      </w:r>
      <w:r w:rsidRPr="006A0A24">
        <w:rPr>
          <w:rFonts w:ascii="Times New Roman" w:eastAsia="Calibri" w:hAnsi="Times New Roman" w:cs="Times New Roman"/>
          <w:b/>
        </w:rPr>
        <w:t xml:space="preserve"> </w:t>
      </w:r>
      <w:r w:rsidRPr="006A0A24">
        <w:rPr>
          <w:rFonts w:ascii="Times New Roman" w:eastAsia="Calibri" w:hAnsi="Times New Roman" w:cs="Times New Roman"/>
        </w:rPr>
        <w:t>— A.3.b.</w:t>
      </w:r>
      <w:r w:rsidRPr="006A0A24">
        <w:rPr>
          <w:rFonts w:ascii="Times New Roman" w:eastAsia="Calibri" w:hAnsi="Times New Roman" w:cs="Times New Roman"/>
        </w:rPr>
        <w:tab/>
        <w:t>…</w:t>
      </w:r>
    </w:p>
    <w:p w14:paraId="5C6315E1" w14:textId="77777777" w:rsidR="00D86069" w:rsidRPr="006A0A24" w:rsidRDefault="00D86069" w:rsidP="00D86069">
      <w:pPr>
        <w:tabs>
          <w:tab w:val="left" w:pos="720"/>
        </w:tabs>
        <w:spacing w:line="480" w:lineRule="auto"/>
        <w:outlineLvl w:val="5"/>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c</w:t>
      </w:r>
      <w:proofErr w:type="gramEnd"/>
      <w:r w:rsidRPr="006A0A24">
        <w:rPr>
          <w:rFonts w:ascii="Times New Roman" w:eastAsia="Times New Roman" w:hAnsi="Times New Roman" w:cs="Times New Roman"/>
          <w:kern w:val="2"/>
        </w:rPr>
        <w:t>.</w:t>
      </w:r>
      <w:r w:rsidRPr="006A0A24">
        <w:rPr>
          <w:rFonts w:ascii="Times New Roman" w:eastAsia="Times New Roman" w:hAnsi="Times New Roman" w:cs="Times New Roman"/>
          <w:kern w:val="2"/>
        </w:rPr>
        <w:tab/>
        <w:t xml:space="preserve">has experience with the radiation safety aspects of the types of use of byproduct material for which the individual is seeking simultaneous approval both as the radiation safety officer and the authorized user on the same new medical use license or new medical use permit issued by a NRC master material </w:t>
      </w:r>
      <w:proofErr w:type="spellStart"/>
      <w:r w:rsidRPr="006A0A24">
        <w:rPr>
          <w:rFonts w:ascii="Times New Roman" w:eastAsia="Times New Roman" w:hAnsi="Times New Roman" w:cs="Times New Roman"/>
          <w:strike/>
          <w:kern w:val="2"/>
        </w:rPr>
        <w:t>license</w:t>
      </w:r>
      <w:r w:rsidRPr="006A0A24">
        <w:rPr>
          <w:rFonts w:ascii="Times New Roman" w:eastAsia="Times New Roman" w:hAnsi="Times New Roman" w:cs="Times New Roman"/>
          <w:kern w:val="2"/>
          <w:u w:val="single"/>
        </w:rPr>
        <w:t>licensee</w:t>
      </w:r>
      <w:proofErr w:type="spellEnd"/>
      <w:r w:rsidRPr="006A0A24">
        <w:rPr>
          <w:rFonts w:ascii="Times New Roman" w:eastAsia="Times New Roman" w:hAnsi="Times New Roman" w:cs="Times New Roman"/>
          <w:kern w:val="2"/>
        </w:rPr>
        <w:t>. The individual shall also meet the requirements in Paragraph A.4 of this Section.</w:t>
      </w:r>
    </w:p>
    <w:p w14:paraId="604B3BB8" w14:textId="77777777" w:rsidR="00D86069" w:rsidRPr="006A0A24" w:rsidRDefault="00D86069" w:rsidP="00D86069">
      <w:pPr>
        <w:keepNext/>
        <w:keepLines/>
        <w:tabs>
          <w:tab w:val="left" w:pos="720"/>
        </w:tabs>
        <w:spacing w:line="480" w:lineRule="auto"/>
        <w:outlineLvl w:val="2"/>
        <w:rPr>
          <w:rFonts w:ascii="Times New Roman" w:eastAsia="Calibri" w:hAnsi="Times New Roman" w:cs="Times New Roman"/>
        </w:rPr>
      </w:pPr>
      <w:r w:rsidRPr="006A0A24">
        <w:rPr>
          <w:rFonts w:ascii="Times New Roman" w:eastAsia="Times New Roman" w:hAnsi="Times New Roman" w:cs="Times New Roman"/>
          <w:kern w:val="2"/>
        </w:rPr>
        <w:tab/>
        <w:t xml:space="preserve">A.4. </w:t>
      </w:r>
      <w:r w:rsidRPr="006A0A24">
        <w:rPr>
          <w:rFonts w:ascii="Times New Roman" w:eastAsia="Calibri" w:hAnsi="Times New Roman" w:cs="Times New Roman"/>
        </w:rPr>
        <w:t>— B.5.</w:t>
      </w:r>
      <w:r w:rsidRPr="006A0A24">
        <w:rPr>
          <w:rFonts w:ascii="Times New Roman" w:eastAsia="Calibri" w:hAnsi="Times New Roman" w:cs="Times New Roman"/>
        </w:rPr>
        <w:tab/>
        <w:t>…</w:t>
      </w:r>
    </w:p>
    <w:p w14:paraId="413ED9A9" w14:textId="77777777" w:rsidR="00D86069" w:rsidRPr="006A0A24" w:rsidRDefault="00D86069" w:rsidP="00D86069">
      <w:pPr>
        <w:tabs>
          <w:tab w:val="left" w:pos="72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6.</w:t>
      </w:r>
      <w:r w:rsidRPr="006A0A24">
        <w:rPr>
          <w:rFonts w:ascii="Times New Roman" w:eastAsia="Times New Roman" w:hAnsi="Times New Roman" w:cs="Times New Roman"/>
          <w:kern w:val="2"/>
        </w:rPr>
        <w:tab/>
        <w:t xml:space="preserve">Physicians, dentists, or podiatrists not identified as authorized users for the medical use of byproduct material on a license issued by the NRC or agreement state, a permit issued by a NRC master material licensee, a permit issued by a NRC or an agreement state broad scope licensee, or a permit issued </w:t>
      </w:r>
      <w:proofErr w:type="spellStart"/>
      <w:r w:rsidRPr="006A0A24">
        <w:rPr>
          <w:rFonts w:ascii="Times New Roman" w:eastAsia="Times New Roman" w:hAnsi="Times New Roman" w:cs="Times New Roman"/>
          <w:strike/>
          <w:kern w:val="2"/>
        </w:rPr>
        <w:t>by</w:t>
      </w:r>
      <w:r w:rsidRPr="006A0A24">
        <w:rPr>
          <w:rFonts w:ascii="Times New Roman" w:eastAsia="Times New Roman" w:hAnsi="Times New Roman" w:cs="Times New Roman"/>
          <w:kern w:val="2"/>
          <w:u w:val="single"/>
        </w:rPr>
        <w:t>in</w:t>
      </w:r>
      <w:proofErr w:type="spellEnd"/>
      <w:r w:rsidRPr="006A0A24">
        <w:rPr>
          <w:rFonts w:ascii="Times New Roman" w:eastAsia="Times New Roman" w:hAnsi="Times New Roman" w:cs="Times New Roman"/>
          <w:kern w:val="2"/>
          <w:u w:val="single"/>
        </w:rPr>
        <w:t xml:space="preserve"> accordance with</w:t>
      </w:r>
      <w:r w:rsidRPr="006A0A24">
        <w:rPr>
          <w:rFonts w:ascii="Times New Roman" w:eastAsia="Times New Roman" w:hAnsi="Times New Roman" w:cs="Times New Roman"/>
          <w:kern w:val="2"/>
        </w:rPr>
        <w:t xml:space="preserve"> a NRC master material license of broad scope on or before October 24, 2005, need not comply with the training requirements of this Chapter for those materials and uses that these individuals performed on or before October 24, 2005, as follows:</w:t>
      </w:r>
      <w:proofErr w:type="gramEnd"/>
    </w:p>
    <w:p w14:paraId="2330FDBD" w14:textId="77777777" w:rsidR="00D86069" w:rsidRPr="006A0A24" w:rsidRDefault="00D86069" w:rsidP="00D86069">
      <w:pPr>
        <w:tabs>
          <w:tab w:val="left" w:pos="720"/>
          <w:tab w:val="left" w:pos="2430"/>
          <w:tab w:val="left" w:pos="279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t>B.6.a. — K.1.</w:t>
      </w:r>
      <w:r w:rsidRPr="006A0A24">
        <w:rPr>
          <w:rFonts w:ascii="Times New Roman" w:eastAsia="Times New Roman" w:hAnsi="Times New Roman" w:cs="Times New Roman"/>
          <w:kern w:val="2"/>
        </w:rPr>
        <w:tab/>
        <w:t>…</w:t>
      </w:r>
    </w:p>
    <w:p w14:paraId="2983113B" w14:textId="77777777" w:rsidR="00D86069" w:rsidRPr="006A0A24" w:rsidRDefault="00D86069" w:rsidP="00D86069">
      <w:pPr>
        <w:tabs>
          <w:tab w:val="left" w:pos="720"/>
        </w:tabs>
        <w:spacing w:after="160" w:line="480" w:lineRule="auto"/>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r w:rsidRPr="006A0A24">
        <w:rPr>
          <w:rFonts w:ascii="Times New Roman" w:eastAsia="Times New Roman" w:hAnsi="Times New Roman" w:cs="Times New Roman"/>
          <w:kern w:val="2"/>
        </w:rPr>
        <w:tab/>
      </w:r>
      <w:proofErr w:type="gramStart"/>
      <w:r w:rsidRPr="006A0A24">
        <w:rPr>
          <w:rFonts w:ascii="Times New Roman" w:eastAsia="Times New Roman" w:hAnsi="Times New Roman" w:cs="Times New Roman"/>
          <w:kern w:val="2"/>
        </w:rPr>
        <w:t>a</w:t>
      </w:r>
      <w:proofErr w:type="gramEnd"/>
      <w:r w:rsidRPr="006A0A24">
        <w:rPr>
          <w:rFonts w:ascii="Times New Roman" w:eastAsia="Times New Roman" w:hAnsi="Times New Roman" w:cs="Times New Roman"/>
          <w:kern w:val="2"/>
        </w:rPr>
        <w:t>.</w:t>
      </w:r>
      <w:r w:rsidRPr="006A0A24">
        <w:rPr>
          <w:rFonts w:ascii="Times New Roman" w:eastAsia="Times New Roman" w:hAnsi="Times New Roman" w:cs="Times New Roman"/>
          <w:kern w:val="2"/>
        </w:rPr>
        <w:tab/>
        <w:t xml:space="preserve">have graduated from a pharmacy program accredited by the </w:t>
      </w:r>
      <w:proofErr w:type="spellStart"/>
      <w:r w:rsidRPr="006A0A24">
        <w:rPr>
          <w:rFonts w:ascii="Times New Roman" w:eastAsia="Times New Roman" w:hAnsi="Times New Roman" w:cs="Times New Roman"/>
          <w:strike/>
          <w:kern w:val="2"/>
        </w:rPr>
        <w:t>American</w:t>
      </w:r>
      <w:r w:rsidRPr="006A0A24">
        <w:rPr>
          <w:rFonts w:ascii="Times New Roman" w:eastAsia="Times New Roman" w:hAnsi="Times New Roman" w:cs="Times New Roman"/>
          <w:kern w:val="2"/>
          <w:u w:val="single"/>
        </w:rPr>
        <w:t>Accreditation</w:t>
      </w:r>
      <w:proofErr w:type="spellEnd"/>
      <w:r w:rsidRPr="006A0A24">
        <w:rPr>
          <w:rFonts w:ascii="Times New Roman" w:eastAsia="Times New Roman" w:hAnsi="Times New Roman" w:cs="Times New Roman"/>
          <w:kern w:val="2"/>
        </w:rPr>
        <w:t xml:space="preserve"> Council </w:t>
      </w:r>
      <w:proofErr w:type="spellStart"/>
      <w:r w:rsidRPr="006A0A24">
        <w:rPr>
          <w:rFonts w:ascii="Times New Roman" w:eastAsia="Times New Roman" w:hAnsi="Times New Roman" w:cs="Times New Roman"/>
          <w:strike/>
          <w:kern w:val="2"/>
        </w:rPr>
        <w:t>on</w:t>
      </w:r>
      <w:r w:rsidRPr="006A0A24">
        <w:rPr>
          <w:rFonts w:ascii="Times New Roman" w:eastAsia="Times New Roman" w:hAnsi="Times New Roman" w:cs="Times New Roman"/>
          <w:kern w:val="2"/>
          <w:u w:val="single"/>
        </w:rPr>
        <w:t>for</w:t>
      </w:r>
      <w:proofErr w:type="spellEnd"/>
      <w:r w:rsidRPr="006A0A24">
        <w:rPr>
          <w:rFonts w:ascii="Times New Roman" w:eastAsia="Times New Roman" w:hAnsi="Times New Roman" w:cs="Times New Roman"/>
          <w:kern w:val="2"/>
        </w:rPr>
        <w:t xml:space="preserve"> </w:t>
      </w:r>
      <w:proofErr w:type="spellStart"/>
      <w:r w:rsidRPr="006A0A24">
        <w:rPr>
          <w:rFonts w:ascii="Times New Roman" w:eastAsia="Times New Roman" w:hAnsi="Times New Roman" w:cs="Times New Roman"/>
          <w:strike/>
          <w:kern w:val="2"/>
        </w:rPr>
        <w:t>Pharmaceutical</w:t>
      </w:r>
      <w:r w:rsidRPr="006A0A24">
        <w:rPr>
          <w:rFonts w:ascii="Times New Roman" w:eastAsia="Times New Roman" w:hAnsi="Times New Roman" w:cs="Times New Roman"/>
          <w:kern w:val="2"/>
          <w:u w:val="single"/>
        </w:rPr>
        <w:t>Pharmacy</w:t>
      </w:r>
      <w:proofErr w:type="spellEnd"/>
      <w:r w:rsidRPr="006A0A24">
        <w:rPr>
          <w:rFonts w:ascii="Times New Roman" w:eastAsia="Times New Roman" w:hAnsi="Times New Roman" w:cs="Times New Roman"/>
          <w:kern w:val="2"/>
        </w:rPr>
        <w:t xml:space="preserve"> Education (ACPE) or have passed the Foreign Pharmacy Graduate Examination Committee (FPGEC) examination;</w:t>
      </w:r>
    </w:p>
    <w:p w14:paraId="2438C88C" w14:textId="77777777" w:rsidR="00D86069" w:rsidRPr="006A0A24" w:rsidRDefault="00D86069" w:rsidP="00D86069">
      <w:pPr>
        <w:keepNext/>
        <w:keepLines/>
        <w:tabs>
          <w:tab w:val="left" w:pos="720"/>
        </w:tabs>
        <w:spacing w:line="480" w:lineRule="auto"/>
        <w:outlineLvl w:val="2"/>
        <w:rPr>
          <w:rFonts w:ascii="Times New Roman" w:eastAsia="Calibri" w:hAnsi="Times New Roman" w:cs="Times New Roman"/>
        </w:rPr>
      </w:pPr>
      <w:r w:rsidRPr="006A0A24">
        <w:rPr>
          <w:rFonts w:ascii="Times New Roman" w:eastAsia="Times New Roman" w:hAnsi="Times New Roman" w:cs="Times New Roman"/>
          <w:kern w:val="2"/>
        </w:rPr>
        <w:lastRenderedPageBreak/>
        <w:tab/>
        <w:t>K.1.b.</w:t>
      </w:r>
      <w:r w:rsidRPr="006A0A24">
        <w:rPr>
          <w:rFonts w:ascii="Times New Roman" w:eastAsia="Calibri" w:hAnsi="Times New Roman" w:cs="Times New Roman"/>
        </w:rPr>
        <w:t xml:space="preserve"> — M.</w:t>
      </w:r>
      <w:r w:rsidRPr="006A0A24">
        <w:rPr>
          <w:rFonts w:ascii="Times New Roman" w:eastAsia="Calibri" w:hAnsi="Times New Roman" w:cs="Times New Roman"/>
        </w:rPr>
        <w:tab/>
        <w:t>…</w:t>
      </w:r>
    </w:p>
    <w:p w14:paraId="31725A9B" w14:textId="77777777" w:rsidR="00D86069" w:rsidRPr="006A0A24" w:rsidRDefault="00D86069" w:rsidP="00D86069">
      <w:pPr>
        <w:tabs>
          <w:tab w:val="left" w:pos="720"/>
        </w:tabs>
        <w:ind w:firstLine="187"/>
        <w:rPr>
          <w:rFonts w:ascii="Times New Roman" w:eastAsia="Times New Roman" w:hAnsi="Times New Roman" w:cs="Times New Roman"/>
          <w:kern w:val="2"/>
        </w:rPr>
      </w:pPr>
      <w:r w:rsidRPr="006A0A24">
        <w:rPr>
          <w:rFonts w:ascii="Times New Roman" w:eastAsia="Times New Roman" w:hAnsi="Times New Roman" w:cs="Times New Roman"/>
          <w:kern w:val="2"/>
        </w:rPr>
        <w:t>AUTHORITY NOTE:</w:t>
      </w:r>
      <w:r w:rsidRPr="006A0A24">
        <w:rPr>
          <w:rFonts w:ascii="Times New Roman" w:eastAsia="Times New Roman" w:hAnsi="Times New Roman" w:cs="Times New Roman"/>
          <w:kern w:val="2"/>
        </w:rPr>
        <w:tab/>
        <w:t>Promulgated in accordance with R.S. 30:2001 et seq., and 2104.B.</w:t>
      </w:r>
    </w:p>
    <w:p w14:paraId="0B0ACB8C" w14:textId="77777777" w:rsidR="00D86069" w:rsidRPr="006A0A24" w:rsidRDefault="00D86069" w:rsidP="00D86069">
      <w:pPr>
        <w:tabs>
          <w:tab w:val="left" w:pos="720"/>
        </w:tabs>
        <w:ind w:firstLine="187"/>
        <w:rPr>
          <w:rFonts w:ascii="Times New Roman" w:eastAsia="Times New Roman" w:hAnsi="Times New Roman" w:cs="Times New Roman"/>
          <w:kern w:val="2"/>
        </w:rPr>
      </w:pPr>
      <w:proofErr w:type="gramStart"/>
      <w:r w:rsidRPr="006A0A24">
        <w:rPr>
          <w:rFonts w:ascii="Times New Roman" w:eastAsia="Times New Roman" w:hAnsi="Times New Roman" w:cs="Times New Roman"/>
          <w:kern w:val="2"/>
        </w:rPr>
        <w:t>HISTORICAL NOTE:</w:t>
      </w:r>
      <w:r w:rsidRPr="006A0A24">
        <w:rPr>
          <w:rFonts w:ascii="Times New Roman" w:eastAsia="Times New Roman" w:hAnsi="Times New Roman" w:cs="Times New Roman"/>
          <w:kern w:val="2"/>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 LR 47:1860 (December 2021), amended by the Office of the Secretary, Legal Affairs Division, LR 49:62 (January 2023), LR 50:</w:t>
      </w:r>
      <w:proofErr w:type="gramEnd"/>
    </w:p>
    <w:p w14:paraId="382F682A" w14:textId="77777777" w:rsidR="00D86069" w:rsidRPr="006A0A24" w:rsidRDefault="00D86069" w:rsidP="00D86069">
      <w:pPr>
        <w:tabs>
          <w:tab w:val="left" w:pos="720"/>
        </w:tabs>
        <w:ind w:firstLine="187"/>
        <w:rPr>
          <w:rFonts w:ascii="Times New Roman" w:eastAsia="Times New Roman" w:hAnsi="Times New Roman" w:cs="Times New Roman"/>
          <w:kern w:val="2"/>
        </w:rPr>
      </w:pPr>
    </w:p>
    <w:p w14:paraId="0DBBF6D7" w14:textId="77777777" w:rsidR="00D86069" w:rsidRPr="006A0A24" w:rsidRDefault="00D86069" w:rsidP="00D86069">
      <w:pPr>
        <w:widowControl w:val="0"/>
        <w:tabs>
          <w:tab w:val="left" w:pos="720"/>
        </w:tabs>
        <w:spacing w:line="480" w:lineRule="auto"/>
        <w:ind w:right="144"/>
        <w:outlineLvl w:val="1"/>
        <w:rPr>
          <w:rFonts w:ascii="Times New Roman" w:eastAsia="Calibri" w:hAnsi="Times New Roman" w:cs="Times New Roman"/>
          <w:b/>
          <w:kern w:val="2"/>
        </w:rPr>
      </w:pPr>
      <w:bookmarkStart w:id="10" w:name="TOC_Chap283"/>
      <w:bookmarkStart w:id="11" w:name="_Toc435609552"/>
      <w:r w:rsidRPr="006A0A24">
        <w:rPr>
          <w:rFonts w:ascii="Times New Roman" w:eastAsia="Calibri" w:hAnsi="Times New Roman" w:cs="Times New Roman"/>
          <w:b/>
          <w:kern w:val="2"/>
        </w:rPr>
        <w:t>Chapter 16.</w:t>
      </w:r>
      <w:bookmarkEnd w:id="10"/>
      <w:r w:rsidRPr="006A0A24">
        <w:rPr>
          <w:rFonts w:ascii="Times New Roman" w:eastAsia="Calibri" w:hAnsi="Times New Roman" w:cs="Times New Roman"/>
          <w:b/>
          <w:kern w:val="2"/>
        </w:rPr>
        <w:tab/>
      </w:r>
      <w:bookmarkStart w:id="12" w:name="TOCT_Chap283"/>
      <w:r w:rsidRPr="006A0A24">
        <w:rPr>
          <w:rFonts w:ascii="Times New Roman" w:eastAsia="Calibri" w:hAnsi="Times New Roman" w:cs="Times New Roman"/>
          <w:b/>
          <w:kern w:val="2"/>
        </w:rPr>
        <w:t>Physical Protection of Category 1 and Category 2 Quantities of Radioactive Material</w:t>
      </w:r>
      <w:bookmarkEnd w:id="11"/>
      <w:bookmarkEnd w:id="12"/>
    </w:p>
    <w:p w14:paraId="7EF958F0" w14:textId="77777777" w:rsidR="00D86069" w:rsidRPr="006A0A24" w:rsidRDefault="00D86069" w:rsidP="00D86069">
      <w:pPr>
        <w:widowControl w:val="0"/>
        <w:tabs>
          <w:tab w:val="left" w:pos="720"/>
          <w:tab w:val="left" w:pos="1440"/>
          <w:tab w:val="left" w:pos="1710"/>
        </w:tabs>
        <w:spacing w:line="480" w:lineRule="auto"/>
        <w:ind w:right="144"/>
        <w:outlineLvl w:val="1"/>
        <w:rPr>
          <w:rFonts w:ascii="Times New Roman" w:eastAsia="Calibri" w:hAnsi="Times New Roman" w:cs="Times New Roman"/>
          <w:b/>
          <w:kern w:val="2"/>
        </w:rPr>
      </w:pPr>
      <w:bookmarkStart w:id="13" w:name="TOC_SubC332"/>
      <w:bookmarkStart w:id="14" w:name="_Toc435609587"/>
      <w:r w:rsidRPr="006A0A24">
        <w:rPr>
          <w:rFonts w:ascii="Times New Roman" w:eastAsia="Calibri" w:hAnsi="Times New Roman" w:cs="Times New Roman"/>
          <w:b/>
          <w:kern w:val="2"/>
        </w:rPr>
        <w:t>Subchapter Z.</w:t>
      </w:r>
      <w:bookmarkEnd w:id="13"/>
      <w:r w:rsidRPr="006A0A24">
        <w:rPr>
          <w:rFonts w:ascii="Times New Roman" w:eastAsia="Calibri" w:hAnsi="Times New Roman" w:cs="Times New Roman"/>
          <w:b/>
          <w:kern w:val="2"/>
        </w:rPr>
        <w:tab/>
      </w:r>
      <w:bookmarkStart w:id="15" w:name="TOCT_SubC332"/>
      <w:r w:rsidRPr="006A0A24">
        <w:rPr>
          <w:rFonts w:ascii="Times New Roman" w:eastAsia="Calibri" w:hAnsi="Times New Roman" w:cs="Times New Roman"/>
          <w:b/>
          <w:kern w:val="2"/>
        </w:rPr>
        <w:t>Appendices</w:t>
      </w:r>
      <w:bookmarkEnd w:id="14"/>
      <w:bookmarkEnd w:id="15"/>
    </w:p>
    <w:p w14:paraId="3ED5F04A" w14:textId="77777777" w:rsidR="00D86069" w:rsidRPr="006A0A24" w:rsidRDefault="00D86069" w:rsidP="00D86069">
      <w:pPr>
        <w:widowControl w:val="0"/>
        <w:tabs>
          <w:tab w:val="left" w:pos="990"/>
        </w:tabs>
        <w:spacing w:line="480" w:lineRule="auto"/>
        <w:outlineLvl w:val="2"/>
        <w:rPr>
          <w:rFonts w:ascii="Times New Roman" w:eastAsia="Times New Roman" w:hAnsi="Times New Roman" w:cs="Times New Roman"/>
          <w:b/>
          <w:kern w:val="2"/>
        </w:rPr>
      </w:pPr>
      <w:bookmarkStart w:id="16" w:name="_Toc435609588"/>
      <w:bookmarkStart w:id="17" w:name="TOC_Sect724"/>
      <w:r w:rsidRPr="006A0A24">
        <w:rPr>
          <w:rFonts w:ascii="Times New Roman" w:eastAsia="Times New Roman" w:hAnsi="Times New Roman" w:cs="Times New Roman"/>
          <w:b/>
          <w:kern w:val="2"/>
        </w:rPr>
        <w:t>§1699.</w:t>
      </w:r>
      <w:r w:rsidRPr="006A0A24">
        <w:rPr>
          <w:rFonts w:ascii="Times New Roman" w:eastAsia="Times New Roman" w:hAnsi="Times New Roman" w:cs="Times New Roman"/>
          <w:b/>
          <w:kern w:val="2"/>
        </w:rPr>
        <w:tab/>
        <w:t>Appendices</w:t>
      </w:r>
      <w:bookmarkEnd w:id="16"/>
      <w:bookmarkEnd w:id="17"/>
    </w:p>
    <w:p w14:paraId="30701F86" w14:textId="77777777" w:rsidR="00D86069" w:rsidRPr="006A0A24" w:rsidRDefault="00D86069" w:rsidP="00D86069">
      <w:pPr>
        <w:tabs>
          <w:tab w:val="left" w:pos="720"/>
        </w:tabs>
        <w:spacing w:line="480" w:lineRule="auto"/>
        <w:ind w:firstLine="187"/>
        <w:outlineLvl w:val="3"/>
        <w:rPr>
          <w:rFonts w:ascii="Times New Roman" w:eastAsia="Calibri" w:hAnsi="Times New Roman" w:cs="Times New Roman"/>
          <w:kern w:val="2"/>
        </w:rPr>
      </w:pPr>
      <w:r w:rsidRPr="006A0A24">
        <w:rPr>
          <w:rFonts w:ascii="Times New Roman" w:eastAsia="Calibri" w:hAnsi="Times New Roman" w:cs="Times New Roman"/>
          <w:kern w:val="2"/>
        </w:rPr>
        <w:t xml:space="preserve">Appendix </w:t>
      </w:r>
      <w:proofErr w:type="gramStart"/>
      <w:r w:rsidRPr="006A0A24">
        <w:rPr>
          <w:rFonts w:ascii="Times New Roman" w:eastAsia="Calibri" w:hAnsi="Times New Roman" w:cs="Times New Roman"/>
          <w:kern w:val="2"/>
        </w:rPr>
        <w:t>A—</w:t>
      </w:r>
      <w:proofErr w:type="gramEnd"/>
      <w:r w:rsidRPr="006A0A24">
        <w:rPr>
          <w:rFonts w:ascii="Times New Roman" w:eastAsia="Calibri" w:hAnsi="Times New Roman" w:cs="Times New Roman"/>
          <w:kern w:val="2"/>
        </w:rPr>
        <w:t>Category 1 and Category 2 Threshold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414"/>
        <w:gridCol w:w="1102"/>
        <w:gridCol w:w="1176"/>
        <w:gridCol w:w="1102"/>
        <w:gridCol w:w="1102"/>
      </w:tblGrid>
      <w:tr w:rsidR="00D86069" w:rsidRPr="006A0A24" w14:paraId="3C2D87D7" w14:textId="77777777" w:rsidTr="005B4C80">
        <w:trPr>
          <w:jc w:val="center"/>
        </w:trPr>
        <w:tc>
          <w:tcPr>
            <w:tcW w:w="1414" w:type="dxa"/>
            <w:shd w:val="clear" w:color="auto" w:fill="auto"/>
            <w:vAlign w:val="center"/>
          </w:tcPr>
          <w:p w14:paraId="58762CF2"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Radioactive Material</w:t>
            </w:r>
          </w:p>
        </w:tc>
        <w:tc>
          <w:tcPr>
            <w:tcW w:w="1102" w:type="dxa"/>
            <w:shd w:val="clear" w:color="auto" w:fill="auto"/>
            <w:vAlign w:val="center"/>
          </w:tcPr>
          <w:p w14:paraId="48A734E0"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1 (</w:t>
            </w:r>
            <w:proofErr w:type="spellStart"/>
            <w:r w:rsidRPr="006A0A24">
              <w:rPr>
                <w:rFonts w:ascii="Times New Roman" w:eastAsia="Calibri" w:hAnsi="Times New Roman" w:cs="Times New Roman"/>
                <w:b/>
                <w:bCs/>
              </w:rPr>
              <w:t>TBq</w:t>
            </w:r>
            <w:proofErr w:type="spellEnd"/>
            <w:r w:rsidRPr="006A0A24">
              <w:rPr>
                <w:rFonts w:ascii="Times New Roman" w:eastAsia="Calibri" w:hAnsi="Times New Roman" w:cs="Times New Roman"/>
                <w:b/>
                <w:bCs/>
              </w:rPr>
              <w:t>)</w:t>
            </w:r>
          </w:p>
        </w:tc>
        <w:tc>
          <w:tcPr>
            <w:tcW w:w="1176" w:type="dxa"/>
            <w:shd w:val="clear" w:color="auto" w:fill="auto"/>
            <w:vAlign w:val="center"/>
          </w:tcPr>
          <w:p w14:paraId="51A463F8"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1 (Ci)</w:t>
            </w:r>
          </w:p>
        </w:tc>
        <w:tc>
          <w:tcPr>
            <w:tcW w:w="1102" w:type="dxa"/>
            <w:shd w:val="clear" w:color="auto" w:fill="auto"/>
            <w:vAlign w:val="center"/>
          </w:tcPr>
          <w:p w14:paraId="2A9BFED5"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2 (</w:t>
            </w:r>
            <w:proofErr w:type="spellStart"/>
            <w:r w:rsidRPr="006A0A24">
              <w:rPr>
                <w:rFonts w:ascii="Times New Roman" w:eastAsia="Calibri" w:hAnsi="Times New Roman" w:cs="Times New Roman"/>
                <w:b/>
                <w:bCs/>
              </w:rPr>
              <w:t>TBq</w:t>
            </w:r>
            <w:proofErr w:type="spellEnd"/>
            <w:r w:rsidRPr="006A0A24">
              <w:rPr>
                <w:rFonts w:ascii="Times New Roman" w:eastAsia="Calibri" w:hAnsi="Times New Roman" w:cs="Times New Roman"/>
                <w:b/>
                <w:bCs/>
              </w:rPr>
              <w:t>)</w:t>
            </w:r>
          </w:p>
        </w:tc>
        <w:tc>
          <w:tcPr>
            <w:tcW w:w="1102" w:type="dxa"/>
            <w:shd w:val="clear" w:color="auto" w:fill="auto"/>
            <w:vAlign w:val="center"/>
          </w:tcPr>
          <w:p w14:paraId="3D8BEDC6" w14:textId="77777777" w:rsidR="00D86069" w:rsidRPr="006A0A24" w:rsidRDefault="00D86069" w:rsidP="005B4C80">
            <w:pPr>
              <w:tabs>
                <w:tab w:val="left" w:pos="720"/>
              </w:tabs>
              <w:spacing w:line="480" w:lineRule="auto"/>
              <w:ind w:left="-61" w:right="-108"/>
              <w:rPr>
                <w:rFonts w:ascii="Times New Roman" w:eastAsia="Calibri" w:hAnsi="Times New Roman" w:cs="Times New Roman"/>
                <w:b/>
                <w:bCs/>
              </w:rPr>
            </w:pPr>
            <w:r w:rsidRPr="006A0A24">
              <w:rPr>
                <w:rFonts w:ascii="Times New Roman" w:eastAsia="Calibri" w:hAnsi="Times New Roman" w:cs="Times New Roman"/>
                <w:b/>
                <w:bCs/>
              </w:rPr>
              <w:t>Category 2 (Ci)</w:t>
            </w:r>
          </w:p>
        </w:tc>
      </w:tr>
      <w:tr w:rsidR="00D86069" w:rsidRPr="006A0A24" w14:paraId="41AE1402" w14:textId="77777777" w:rsidTr="005B4C80">
        <w:trPr>
          <w:jc w:val="center"/>
        </w:trPr>
        <w:tc>
          <w:tcPr>
            <w:tcW w:w="5896" w:type="dxa"/>
            <w:gridSpan w:val="5"/>
            <w:vAlign w:val="center"/>
          </w:tcPr>
          <w:p w14:paraId="39C124D0" w14:textId="77777777" w:rsidR="00D86069" w:rsidRPr="006A0A24" w:rsidRDefault="00D86069" w:rsidP="005B4C80">
            <w:pPr>
              <w:tabs>
                <w:tab w:val="left" w:pos="720"/>
              </w:tabs>
              <w:spacing w:line="480" w:lineRule="auto"/>
              <w:jc w:val="center"/>
              <w:rPr>
                <w:rFonts w:ascii="Times New Roman" w:eastAsia="Calibri" w:hAnsi="Times New Roman" w:cs="Times New Roman"/>
              </w:rPr>
            </w:pPr>
            <w:r w:rsidRPr="006A0A24">
              <w:rPr>
                <w:rFonts w:ascii="Times New Roman" w:eastAsia="Calibri" w:hAnsi="Times New Roman" w:cs="Times New Roman"/>
              </w:rPr>
              <w:t>* * *</w:t>
            </w:r>
          </w:p>
        </w:tc>
      </w:tr>
    </w:tbl>
    <w:p w14:paraId="4E425F67" w14:textId="77777777" w:rsidR="00D86069" w:rsidRPr="006A0A24" w:rsidRDefault="00D86069" w:rsidP="00D86069">
      <w:pPr>
        <w:tabs>
          <w:tab w:val="left" w:pos="720"/>
        </w:tabs>
        <w:spacing w:after="160" w:line="480" w:lineRule="auto"/>
        <w:ind w:left="274" w:right="216"/>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 xml:space="preserve">The </w:t>
      </w:r>
      <w:proofErr w:type="spellStart"/>
      <w:r w:rsidRPr="006A0A24">
        <w:rPr>
          <w:rFonts w:ascii="Times New Roman" w:eastAsia="Times New Roman" w:hAnsi="Times New Roman" w:cs="Times New Roman"/>
          <w:kern w:val="2"/>
        </w:rPr>
        <w:t>terabecquerel</w:t>
      </w:r>
      <w:proofErr w:type="spellEnd"/>
      <w:r w:rsidRPr="006A0A24">
        <w:rPr>
          <w:rFonts w:ascii="Times New Roman" w:eastAsia="Times New Roman" w:hAnsi="Times New Roman" w:cs="Times New Roman"/>
          <w:kern w:val="2"/>
        </w:rPr>
        <w:t xml:space="preserve"> (</w:t>
      </w:r>
      <w:proofErr w:type="spellStart"/>
      <w:r w:rsidRPr="006A0A24">
        <w:rPr>
          <w:rFonts w:ascii="Times New Roman" w:eastAsia="Times New Roman" w:hAnsi="Times New Roman" w:cs="Times New Roman"/>
          <w:kern w:val="2"/>
        </w:rPr>
        <w:t>TBq</w:t>
      </w:r>
      <w:proofErr w:type="spellEnd"/>
      <w:r w:rsidRPr="006A0A24">
        <w:rPr>
          <w:rFonts w:ascii="Times New Roman" w:eastAsia="Times New Roman" w:hAnsi="Times New Roman" w:cs="Times New Roman"/>
          <w:kern w:val="2"/>
        </w:rPr>
        <w:t xml:space="preserve">) values are the regulatory standard. The curie (Ci) values specified </w:t>
      </w:r>
      <w:proofErr w:type="gramStart"/>
      <w:r w:rsidRPr="006A0A24">
        <w:rPr>
          <w:rFonts w:ascii="Times New Roman" w:eastAsia="Times New Roman" w:hAnsi="Times New Roman" w:cs="Times New Roman"/>
          <w:kern w:val="2"/>
        </w:rPr>
        <w:t>are obtained</w:t>
      </w:r>
      <w:proofErr w:type="gramEnd"/>
      <w:r w:rsidRPr="006A0A24">
        <w:rPr>
          <w:rFonts w:ascii="Times New Roman" w:eastAsia="Times New Roman" w:hAnsi="Times New Roman" w:cs="Times New Roman"/>
          <w:kern w:val="2"/>
        </w:rPr>
        <w:t xml:space="preserve"> by converting from the </w:t>
      </w:r>
      <w:proofErr w:type="spellStart"/>
      <w:r w:rsidRPr="006A0A24">
        <w:rPr>
          <w:rFonts w:ascii="Times New Roman" w:eastAsia="Times New Roman" w:hAnsi="Times New Roman" w:cs="Times New Roman"/>
          <w:kern w:val="2"/>
        </w:rPr>
        <w:t>TBq</w:t>
      </w:r>
      <w:proofErr w:type="spellEnd"/>
      <w:r w:rsidRPr="006A0A24">
        <w:rPr>
          <w:rFonts w:ascii="Times New Roman" w:eastAsia="Times New Roman" w:hAnsi="Times New Roman" w:cs="Times New Roman"/>
          <w:kern w:val="2"/>
        </w:rPr>
        <w:t xml:space="preserve"> value. The curie values </w:t>
      </w:r>
      <w:proofErr w:type="gramStart"/>
      <w:r w:rsidRPr="006A0A24">
        <w:rPr>
          <w:rFonts w:ascii="Times New Roman" w:eastAsia="Times New Roman" w:hAnsi="Times New Roman" w:cs="Times New Roman"/>
          <w:kern w:val="2"/>
        </w:rPr>
        <w:t>are provided</w:t>
      </w:r>
      <w:proofErr w:type="gramEnd"/>
      <w:r w:rsidRPr="006A0A24">
        <w:rPr>
          <w:rFonts w:ascii="Times New Roman" w:eastAsia="Times New Roman" w:hAnsi="Times New Roman" w:cs="Times New Roman"/>
          <w:kern w:val="2"/>
        </w:rPr>
        <w:t xml:space="preserve"> for practical usefulness only.</w:t>
      </w:r>
    </w:p>
    <w:p w14:paraId="6352C19E" w14:textId="77777777" w:rsidR="00D86069" w:rsidRPr="006A0A24" w:rsidRDefault="00D86069" w:rsidP="00D86069">
      <w:pPr>
        <w:tabs>
          <w:tab w:val="left" w:pos="720"/>
        </w:tabs>
        <w:spacing w:line="480" w:lineRule="auto"/>
        <w:ind w:left="270" w:right="216"/>
        <w:rPr>
          <w:rFonts w:ascii="Times New Roman" w:eastAsia="Times New Roman" w:hAnsi="Times New Roman" w:cs="Times New Roman"/>
          <w:noProof/>
        </w:rPr>
      </w:pPr>
      <w:r w:rsidRPr="006A0A24">
        <w:rPr>
          <w:rFonts w:ascii="Times New Roman" w:eastAsia="Times New Roman" w:hAnsi="Times New Roman" w:cs="Times New Roman"/>
          <w:b/>
          <w:bCs/>
          <w:noProof/>
        </w:rPr>
        <w:t>Note</w:t>
      </w:r>
      <w:r w:rsidRPr="006A0A24">
        <w:rPr>
          <w:rFonts w:ascii="Times New Roman" w:eastAsia="Times New Roman" w:hAnsi="Times New Roman" w:cs="Times New Roman"/>
          <w:noProof/>
        </w:rPr>
        <w:t xml:space="preserve">: </w:t>
      </w:r>
      <w:r w:rsidRPr="006A0A24">
        <w:rPr>
          <w:rFonts w:ascii="Times New Roman" w:eastAsia="Times New Roman" w:hAnsi="Times New Roman" w:cs="Times New Roman"/>
          <w:i/>
          <w:iCs/>
          <w:noProof/>
        </w:rPr>
        <w:t>Calculations Concerning Multiple Sources or Multiple Radionuclides</w:t>
      </w:r>
    </w:p>
    <w:p w14:paraId="78DAA402" w14:textId="77777777" w:rsidR="00D86069" w:rsidRPr="006A0A24" w:rsidRDefault="00D86069" w:rsidP="00D86069">
      <w:pPr>
        <w:tabs>
          <w:tab w:val="left" w:pos="720"/>
        </w:tabs>
        <w:spacing w:after="160" w:line="480" w:lineRule="auto"/>
        <w:ind w:left="270" w:right="216"/>
        <w:outlineLvl w:val="4"/>
        <w:rPr>
          <w:rFonts w:ascii="Times New Roman" w:eastAsia="Times New Roman" w:hAnsi="Times New Roman" w:cs="Times New Roman"/>
          <w:kern w:val="2"/>
        </w:rPr>
      </w:pPr>
      <w:r w:rsidRPr="006A0A24">
        <w:rPr>
          <w:rFonts w:ascii="Times New Roman" w:eastAsia="Times New Roman" w:hAnsi="Times New Roman" w:cs="Times New Roman"/>
          <w:kern w:val="2"/>
        </w:rPr>
        <w:t>The "sum of fractions" methodology for evaluating combinations of multiple sources or multiple radionuclides is to be used in determining whether a location meets or exceeds the threshold and is thus subject to the requirements of this Chapter.</w:t>
      </w:r>
    </w:p>
    <w:p w14:paraId="76D2EA38"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lastRenderedPageBreak/>
        <w:t>I.</w:t>
      </w:r>
      <w:r w:rsidRPr="006A0A24">
        <w:rPr>
          <w:rFonts w:ascii="Times New Roman" w:eastAsia="Calibri" w:hAnsi="Times New Roman" w:cs="Times New Roman"/>
          <w:kern w:val="2"/>
        </w:rPr>
        <w:tab/>
        <w:t xml:space="preserve">If multiple sources of the same radionuclide and/or multiple radionuclides </w:t>
      </w:r>
      <w:proofErr w:type="gramStart"/>
      <w:r w:rsidRPr="006A0A24">
        <w:rPr>
          <w:rFonts w:ascii="Times New Roman" w:eastAsia="Calibri" w:hAnsi="Times New Roman" w:cs="Times New Roman"/>
          <w:kern w:val="2"/>
        </w:rPr>
        <w:t>are aggregated</w:t>
      </w:r>
      <w:proofErr w:type="gramEnd"/>
      <w:r w:rsidRPr="006A0A24">
        <w:rPr>
          <w:rFonts w:ascii="Times New Roman" w:eastAsia="Calibri" w:hAnsi="Times New Roman" w:cs="Times New Roman"/>
          <w:kern w:val="2"/>
        </w:rPr>
        <w:t xml:space="preserve"> at a location, the sum of the ratios of the total activity of each of the radionuclides shall be determined to verify whether the activity at the location is less than the category 1 or category 2 thresholds of Table 1, as appropriate. If the calculated sum of the ratios, using the equation below, is greater than or equal to 1.0, then the applicable requirements of this Chapter apply.</w:t>
      </w:r>
    </w:p>
    <w:p w14:paraId="14704C2D"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proofErr w:type="gramStart"/>
      <w:r w:rsidRPr="006A0A24">
        <w:rPr>
          <w:rFonts w:ascii="Times New Roman" w:eastAsia="Calibri" w:hAnsi="Times New Roman" w:cs="Times New Roman"/>
          <w:kern w:val="2"/>
        </w:rPr>
        <w:t>II.</w:t>
      </w:r>
      <w:r w:rsidRPr="006A0A24">
        <w:rPr>
          <w:rFonts w:ascii="Times New Roman" w:eastAsia="Calibri" w:hAnsi="Times New Roman" w:cs="Times New Roman"/>
          <w:kern w:val="2"/>
        </w:rPr>
        <w:tab/>
        <w:t>First</w:t>
      </w:r>
      <w:proofErr w:type="gramEnd"/>
      <w:r w:rsidRPr="006A0A24">
        <w:rPr>
          <w:rFonts w:ascii="Times New Roman" w:eastAsia="Calibri" w:hAnsi="Times New Roman" w:cs="Times New Roman"/>
          <w:kern w:val="2"/>
        </w:rPr>
        <w:t xml:space="preserve"> determine the total activity for each radionuclide from Table 1. This </w:t>
      </w:r>
      <w:proofErr w:type="gramStart"/>
      <w:r w:rsidRPr="006A0A24">
        <w:rPr>
          <w:rFonts w:ascii="Times New Roman" w:eastAsia="Calibri" w:hAnsi="Times New Roman" w:cs="Times New Roman"/>
          <w:kern w:val="2"/>
        </w:rPr>
        <w:t>is done</w:t>
      </w:r>
      <w:proofErr w:type="gramEnd"/>
      <w:r w:rsidRPr="006A0A24">
        <w:rPr>
          <w:rFonts w:ascii="Times New Roman" w:eastAsia="Calibri" w:hAnsi="Times New Roman" w:cs="Times New Roman"/>
          <w:kern w:val="2"/>
        </w:rPr>
        <w:t xml:space="preserv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corresponding threshold activity from Table 1 in the denominator of the equation.</w:t>
      </w:r>
    </w:p>
    <w:p w14:paraId="33270821"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 xml:space="preserve">Calculations </w:t>
      </w:r>
      <w:proofErr w:type="gramStart"/>
      <w:r w:rsidRPr="006A0A24">
        <w:rPr>
          <w:rFonts w:ascii="Times New Roman" w:eastAsia="Calibri" w:hAnsi="Times New Roman" w:cs="Times New Roman"/>
          <w:kern w:val="2"/>
        </w:rPr>
        <w:t>shall be performed</w:t>
      </w:r>
      <w:proofErr w:type="gramEnd"/>
      <w:r w:rsidRPr="006A0A24">
        <w:rPr>
          <w:rFonts w:ascii="Times New Roman" w:eastAsia="Calibri" w:hAnsi="Times New Roman" w:cs="Times New Roman"/>
          <w:kern w:val="2"/>
        </w:rPr>
        <w:t xml:space="preserve"> in metric values (i.e., </w:t>
      </w:r>
      <w:proofErr w:type="spellStart"/>
      <w:r w:rsidRPr="006A0A24">
        <w:rPr>
          <w:rFonts w:ascii="Times New Roman" w:eastAsia="Calibri" w:hAnsi="Times New Roman" w:cs="Times New Roman"/>
          <w:kern w:val="2"/>
        </w:rPr>
        <w:t>TBq</w:t>
      </w:r>
      <w:proofErr w:type="spellEnd"/>
      <w:r w:rsidRPr="006A0A24">
        <w:rPr>
          <w:rFonts w:ascii="Times New Roman" w:eastAsia="Calibri" w:hAnsi="Times New Roman" w:cs="Times New Roman"/>
          <w:kern w:val="2"/>
        </w:rPr>
        <w:t>) and the numerator and denominator values shall be in the same units.</w:t>
      </w:r>
    </w:p>
    <w:p w14:paraId="7B6FB326"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1</w:t>
      </w:r>
      <w:r w:rsidRPr="006A0A24">
        <w:rPr>
          <w:rFonts w:ascii="Times New Roman" w:eastAsia="Calibri" w:hAnsi="Times New Roman" w:cs="Times New Roman"/>
          <w:kern w:val="2"/>
        </w:rPr>
        <w:t xml:space="preserve"> = total activity for radionuclide 1</w:t>
      </w:r>
    </w:p>
    <w:p w14:paraId="0738BEDB"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2</w:t>
      </w:r>
      <w:r w:rsidRPr="006A0A24">
        <w:rPr>
          <w:rFonts w:ascii="Times New Roman" w:eastAsia="Calibri" w:hAnsi="Times New Roman" w:cs="Times New Roman"/>
          <w:kern w:val="2"/>
        </w:rPr>
        <w:t xml:space="preserve"> = total activity for radionuclide 2</w:t>
      </w:r>
    </w:p>
    <w:p w14:paraId="26FE8963"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R</w:t>
      </w:r>
      <w:r w:rsidRPr="006A0A24">
        <w:rPr>
          <w:rFonts w:ascii="Times New Roman" w:eastAsia="Calibri" w:hAnsi="Times New Roman" w:cs="Times New Roman"/>
          <w:kern w:val="2"/>
          <w:vertAlign w:val="subscript"/>
        </w:rPr>
        <w:t>N</w:t>
      </w:r>
      <w:r w:rsidRPr="006A0A24">
        <w:rPr>
          <w:rFonts w:ascii="Times New Roman" w:eastAsia="Calibri" w:hAnsi="Times New Roman" w:cs="Times New Roman"/>
          <w:kern w:val="2"/>
        </w:rPr>
        <w:t xml:space="preserve"> = total activity for radionuclide n</w:t>
      </w:r>
    </w:p>
    <w:p w14:paraId="0DE96CCA"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1</w:t>
      </w:r>
      <w:r w:rsidRPr="006A0A24">
        <w:rPr>
          <w:rFonts w:ascii="Times New Roman" w:eastAsia="Calibri" w:hAnsi="Times New Roman" w:cs="Times New Roman"/>
          <w:kern w:val="2"/>
        </w:rPr>
        <w:t xml:space="preserve"> = activity threshold for radionuclide 1</w:t>
      </w:r>
    </w:p>
    <w:p w14:paraId="4EFF4258"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2</w:t>
      </w:r>
      <w:r w:rsidRPr="006A0A24">
        <w:rPr>
          <w:rFonts w:ascii="Times New Roman" w:eastAsia="Calibri" w:hAnsi="Times New Roman" w:cs="Times New Roman"/>
          <w:kern w:val="2"/>
        </w:rPr>
        <w:t xml:space="preserve"> = activity threshold for radionuclide 2</w:t>
      </w:r>
    </w:p>
    <w:p w14:paraId="31A11651" w14:textId="77777777" w:rsidR="00D86069" w:rsidRPr="006A0A24" w:rsidRDefault="00D86069" w:rsidP="00D86069">
      <w:pPr>
        <w:tabs>
          <w:tab w:val="left" w:pos="720"/>
        </w:tabs>
        <w:spacing w:line="480" w:lineRule="auto"/>
        <w:ind w:left="270" w:right="216"/>
        <w:outlineLvl w:val="3"/>
        <w:rPr>
          <w:rFonts w:ascii="Times New Roman" w:eastAsia="Calibri" w:hAnsi="Times New Roman" w:cs="Times New Roman"/>
          <w:kern w:val="2"/>
        </w:rPr>
      </w:pPr>
      <w:r w:rsidRPr="006A0A24">
        <w:rPr>
          <w:rFonts w:ascii="Times New Roman" w:eastAsia="Calibri" w:hAnsi="Times New Roman" w:cs="Times New Roman"/>
          <w:kern w:val="2"/>
        </w:rPr>
        <w:t>AR</w:t>
      </w:r>
      <w:r w:rsidRPr="006A0A24">
        <w:rPr>
          <w:rFonts w:ascii="Times New Roman" w:eastAsia="Calibri" w:hAnsi="Times New Roman" w:cs="Times New Roman"/>
          <w:kern w:val="2"/>
          <w:vertAlign w:val="subscript"/>
        </w:rPr>
        <w:t>N</w:t>
      </w:r>
      <w:r w:rsidRPr="006A0A24">
        <w:rPr>
          <w:rFonts w:ascii="Times New Roman" w:eastAsia="Calibri" w:hAnsi="Times New Roman" w:cs="Times New Roman"/>
          <w:kern w:val="2"/>
        </w:rPr>
        <w:t xml:space="preserve"> = activity threshold for radionuclide n</w:t>
      </w:r>
    </w:p>
    <w:p w14:paraId="0BE1EDEE" w14:textId="77777777" w:rsidR="00D86069" w:rsidRPr="006A0A24" w:rsidRDefault="00E94608" w:rsidP="00D86069">
      <w:pPr>
        <w:tabs>
          <w:tab w:val="left" w:pos="720"/>
        </w:tabs>
        <w:spacing w:line="480" w:lineRule="auto"/>
        <w:ind w:right="216"/>
        <w:outlineLvl w:val="3"/>
        <w:rPr>
          <w:rFonts w:ascii="Times New Roman" w:eastAsia="Calibri" w:hAnsi="Times New Roman" w:cs="Times New Roman"/>
          <w:strike/>
          <w:kern w:val="2"/>
        </w:rPr>
      </w:pPr>
      <m:oMathPara>
        <m:oMathParaPr>
          <m:jc m:val="left"/>
        </m:oMathParaPr>
        <m:oMath>
          <m:nary>
            <m:naryPr>
              <m:chr m:val="∑"/>
              <m:limLoc m:val="undOvr"/>
              <m:ctrlPr>
                <w:rPr>
                  <w:rFonts w:ascii="Cambria Math" w:eastAsia="Calibri" w:hAnsi="Cambria Math" w:cs="Times New Roman"/>
                  <w:i/>
                  <w:strike/>
                  <w:kern w:val="2"/>
                </w:rPr>
              </m:ctrlPr>
            </m:naryPr>
            <m:sub>
              <m:r>
                <w:rPr>
                  <w:rFonts w:ascii="Cambria Math" w:eastAsia="Calibri" w:hAnsi="Cambria Math" w:cs="Times New Roman"/>
                  <w:strike/>
                  <w:kern w:val="2"/>
                </w:rPr>
                <m:t>1</m:t>
              </m:r>
            </m:sub>
            <m:sup>
              <m:r>
                <w:rPr>
                  <w:rFonts w:ascii="Cambria Math" w:eastAsia="Calibri" w:hAnsi="Cambria Math" w:cs="Times New Roman"/>
                  <w:strike/>
                  <w:kern w:val="2"/>
                </w:rPr>
                <m:t>n</m:t>
              </m:r>
            </m:sup>
            <m:e>
              <m:d>
                <m:dPr>
                  <m:begChr m:val="["/>
                  <m:endChr m:val="]"/>
                  <m:ctrlPr>
                    <w:rPr>
                      <w:rFonts w:ascii="Cambria Math" w:eastAsia="Calibri" w:hAnsi="Cambria Math" w:cs="Times New Roman"/>
                      <w:i/>
                      <w:strike/>
                      <w:kern w:val="2"/>
                    </w:rPr>
                  </m:ctrlPr>
                </m:dPr>
                <m:e>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1</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1</m:t>
                          </m:r>
                        </m:sub>
                      </m:sSub>
                    </m:den>
                  </m:f>
                  <m:r>
                    <w:rPr>
                      <w:rFonts w:ascii="Cambria Math" w:eastAsia="Calibri" w:hAnsi="Cambria Math" w:cs="Times New Roman"/>
                      <w:strike/>
                      <w:kern w:val="2"/>
                    </w:rPr>
                    <m:t>+</m:t>
                  </m:r>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2</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2</m:t>
                          </m:r>
                        </m:sub>
                      </m:sSub>
                    </m:den>
                  </m:f>
                  <m:r>
                    <w:rPr>
                      <w:rFonts w:ascii="Cambria Math" w:eastAsia="Calibri" w:hAnsi="Cambria Math" w:cs="Times New Roman"/>
                      <w:strike/>
                      <w:kern w:val="2"/>
                    </w:rPr>
                    <m:t>+</m:t>
                  </m:r>
                  <m:f>
                    <m:fPr>
                      <m:ctrlPr>
                        <w:rPr>
                          <w:rFonts w:ascii="Cambria Math" w:eastAsia="Calibri" w:hAnsi="Cambria Math" w:cs="Times New Roman"/>
                          <w:i/>
                          <w:strike/>
                          <w:kern w:val="2"/>
                        </w:rPr>
                      </m:ctrlPr>
                    </m:fPr>
                    <m:num>
                      <m:sSub>
                        <m:sSubPr>
                          <m:ctrlPr>
                            <w:rPr>
                              <w:rFonts w:ascii="Cambria Math" w:eastAsia="Calibri" w:hAnsi="Cambria Math" w:cs="Times New Roman"/>
                              <w:i/>
                              <w:strike/>
                              <w:kern w:val="2"/>
                            </w:rPr>
                          </m:ctrlPr>
                        </m:sSubPr>
                        <m:e>
                          <m:r>
                            <w:rPr>
                              <w:rFonts w:ascii="Cambria Math" w:eastAsia="Calibri" w:hAnsi="Cambria Math" w:cs="Times New Roman"/>
                              <w:strike/>
                              <w:kern w:val="2"/>
                            </w:rPr>
                            <m:t>R</m:t>
                          </m:r>
                        </m:e>
                        <m:sub>
                          <m:r>
                            <w:rPr>
                              <w:rFonts w:ascii="Cambria Math" w:eastAsia="Calibri" w:hAnsi="Cambria Math" w:cs="Times New Roman"/>
                              <w:strike/>
                              <w:kern w:val="2"/>
                            </w:rPr>
                            <m:t>n</m:t>
                          </m:r>
                        </m:sub>
                      </m:sSub>
                    </m:num>
                    <m:den>
                      <m:sSub>
                        <m:sSubPr>
                          <m:ctrlPr>
                            <w:rPr>
                              <w:rFonts w:ascii="Cambria Math" w:eastAsia="Calibri" w:hAnsi="Cambria Math" w:cs="Times New Roman"/>
                              <w:i/>
                              <w:strike/>
                              <w:kern w:val="2"/>
                            </w:rPr>
                          </m:ctrlPr>
                        </m:sSubPr>
                        <m:e>
                          <m:r>
                            <w:rPr>
                              <w:rFonts w:ascii="Cambria Math" w:eastAsia="Calibri" w:hAnsi="Cambria Math" w:cs="Times New Roman"/>
                              <w:strike/>
                              <w:kern w:val="2"/>
                            </w:rPr>
                            <m:t>AR</m:t>
                          </m:r>
                        </m:e>
                        <m:sub>
                          <m:r>
                            <w:rPr>
                              <w:rFonts w:ascii="Cambria Math" w:eastAsia="Calibri" w:hAnsi="Cambria Math" w:cs="Times New Roman"/>
                              <w:strike/>
                              <w:kern w:val="2"/>
                            </w:rPr>
                            <m:t>n</m:t>
                          </m:r>
                        </m:sub>
                      </m:sSub>
                    </m:den>
                  </m:f>
                </m:e>
              </m:d>
            </m:e>
          </m:nary>
          <m:r>
            <w:rPr>
              <w:rFonts w:ascii="Cambria Math" w:eastAsia="Calibri" w:hAnsi="Cambria Math" w:cs="Times New Roman"/>
              <w:strike/>
              <w:kern w:val="2"/>
            </w:rPr>
            <m:t>≥1.0</m:t>
          </m:r>
        </m:oMath>
      </m:oMathPara>
    </w:p>
    <w:p w14:paraId="75718864" w14:textId="77777777" w:rsidR="00D86069" w:rsidRPr="006A0A24" w:rsidRDefault="00E94608" w:rsidP="00D86069">
      <w:pPr>
        <w:spacing w:after="160" w:line="259" w:lineRule="auto"/>
        <w:rPr>
          <w:rFonts w:ascii="Times New Roman" w:eastAsia="Calibri" w:hAnsi="Times New Roman" w:cs="Times New Roman"/>
          <w:u w:val="single"/>
        </w:rPr>
      </w:pPr>
      <m:oMathPara>
        <m:oMathParaPr>
          <m:jc m:val="left"/>
        </m:oMathParaPr>
        <m:oMath>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1</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1</m:t>
                  </m:r>
                </m:sub>
              </m:sSub>
            </m:den>
          </m:f>
          <m:r>
            <w:rPr>
              <w:rFonts w:ascii="Cambria Math" w:eastAsia="Calibri" w:hAnsi="Cambria Math" w:cs="Times New Roman"/>
              <w:u w:val="single"/>
            </w:rPr>
            <m:t>+</m:t>
          </m:r>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2</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2</m:t>
                  </m:r>
                </m:sub>
              </m:sSub>
            </m:den>
          </m:f>
          <m:r>
            <w:rPr>
              <w:rFonts w:ascii="Cambria Math" w:eastAsia="Calibri" w:hAnsi="Cambria Math" w:cs="Times New Roman"/>
              <w:u w:val="single"/>
            </w:rPr>
            <m:t>+⋯+</m:t>
          </m:r>
          <m:f>
            <m:fPr>
              <m:ctrlPr>
                <w:rPr>
                  <w:rFonts w:ascii="Cambria Math" w:eastAsia="Calibri" w:hAnsi="Cambria Math" w:cs="Times New Roman"/>
                  <w:i/>
                  <w:u w:val="single"/>
                </w:rPr>
              </m:ctrlPr>
            </m:fPr>
            <m:num>
              <m:sSub>
                <m:sSubPr>
                  <m:ctrlPr>
                    <w:rPr>
                      <w:rFonts w:ascii="Cambria Math" w:eastAsia="Calibri" w:hAnsi="Cambria Math" w:cs="Times New Roman"/>
                      <w:i/>
                      <w:u w:val="single"/>
                    </w:rPr>
                  </m:ctrlPr>
                </m:sSubPr>
                <m:e>
                  <m:r>
                    <w:rPr>
                      <w:rFonts w:ascii="Cambria Math" w:eastAsia="Calibri" w:hAnsi="Cambria Math" w:cs="Times New Roman"/>
                      <w:u w:val="single"/>
                    </w:rPr>
                    <m:t>R</m:t>
                  </m:r>
                </m:e>
                <m:sub>
                  <m:r>
                    <w:rPr>
                      <w:rFonts w:ascii="Cambria Math" w:eastAsia="Calibri" w:hAnsi="Cambria Math" w:cs="Times New Roman"/>
                      <w:u w:val="single"/>
                    </w:rPr>
                    <m:t>n</m:t>
                  </m:r>
                </m:sub>
              </m:sSub>
            </m:num>
            <m:den>
              <m:sSub>
                <m:sSubPr>
                  <m:ctrlPr>
                    <w:rPr>
                      <w:rFonts w:ascii="Cambria Math" w:eastAsia="Calibri" w:hAnsi="Cambria Math" w:cs="Times New Roman"/>
                      <w:i/>
                      <w:u w:val="single"/>
                    </w:rPr>
                  </m:ctrlPr>
                </m:sSubPr>
                <m:e>
                  <m:r>
                    <w:rPr>
                      <w:rFonts w:ascii="Cambria Math" w:eastAsia="Calibri" w:hAnsi="Cambria Math" w:cs="Times New Roman"/>
                      <w:u w:val="single"/>
                    </w:rPr>
                    <m:t>AR</m:t>
                  </m:r>
                </m:e>
                <m:sub>
                  <m:r>
                    <w:rPr>
                      <w:rFonts w:ascii="Cambria Math" w:eastAsia="Calibri" w:hAnsi="Cambria Math" w:cs="Times New Roman"/>
                      <w:u w:val="single"/>
                    </w:rPr>
                    <m:t>n</m:t>
                  </m:r>
                </m:sub>
              </m:sSub>
            </m:den>
          </m:f>
          <m:r>
            <w:rPr>
              <w:rFonts w:ascii="Cambria Math" w:eastAsia="Calibri" w:hAnsi="Cambria Math" w:cs="Times New Roman"/>
              <w:u w:val="single"/>
            </w:rPr>
            <m:t>≥1.0</m:t>
          </m:r>
        </m:oMath>
      </m:oMathPara>
    </w:p>
    <w:p w14:paraId="1F8A68BB" w14:textId="77777777" w:rsidR="00D86069" w:rsidRPr="006A0A24" w:rsidRDefault="00D86069" w:rsidP="00D86069">
      <w:pPr>
        <w:tabs>
          <w:tab w:val="left" w:pos="288"/>
        </w:tabs>
        <w:rPr>
          <w:rFonts w:ascii="Times New Roman" w:eastAsia="Times New Roman" w:hAnsi="Times New Roman" w:cs="Times New Roman"/>
          <w:kern w:val="2"/>
        </w:rPr>
      </w:pPr>
    </w:p>
    <w:p w14:paraId="1BE07FEA" w14:textId="77777777" w:rsidR="00D86069" w:rsidRPr="006A0A24" w:rsidRDefault="00D86069" w:rsidP="00D86069">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t>AUTHORITY NOTE:</w:t>
      </w:r>
      <w:r w:rsidRPr="006A0A24">
        <w:rPr>
          <w:rFonts w:ascii="Times New Roman" w:eastAsia="Times New Roman" w:hAnsi="Times New Roman" w:cs="Times New Roman"/>
          <w:kern w:val="2"/>
        </w:rPr>
        <w:tab/>
        <w:t>Promulgated in accordance with R.S. 30:2001 et seq., and 2104(B).</w:t>
      </w:r>
    </w:p>
    <w:p w14:paraId="0E97ED68" w14:textId="77777777" w:rsidR="00D86069" w:rsidRPr="006A0A24" w:rsidRDefault="00D86069" w:rsidP="00D86069">
      <w:pPr>
        <w:widowControl w:val="0"/>
        <w:tabs>
          <w:tab w:val="left" w:pos="288"/>
        </w:tabs>
        <w:rPr>
          <w:rFonts w:ascii="Times New Roman" w:eastAsia="Times New Roman" w:hAnsi="Times New Roman" w:cs="Times New Roman"/>
          <w:b/>
          <w:kern w:val="2"/>
        </w:rPr>
      </w:pPr>
      <w:r w:rsidRPr="006A0A24">
        <w:rPr>
          <w:rFonts w:ascii="Times New Roman" w:eastAsia="Times New Roman" w:hAnsi="Times New Roman" w:cs="Times New Roman"/>
          <w:kern w:val="2"/>
        </w:rPr>
        <w:tab/>
        <w:t>HISTORICAL NOTE:</w:t>
      </w:r>
      <w:r w:rsidRPr="006A0A24">
        <w:rPr>
          <w:rFonts w:ascii="Times New Roman" w:eastAsia="Times New Roman" w:hAnsi="Times New Roman" w:cs="Times New Roman"/>
          <w:kern w:val="2"/>
        </w:rPr>
        <w:tab/>
        <w:t>Promulgated by the Department of Environmental Quality, Office of the Secretary, Legal Division, LR 41:2338 (November 2015), amended by the Office of the Secretary, Legal Affairs Division, LR 50:</w:t>
      </w:r>
    </w:p>
    <w:p w14:paraId="7171950D" w14:textId="77777777" w:rsidR="00D86069" w:rsidRDefault="00D86069" w:rsidP="004F6187">
      <w:pPr>
        <w:pStyle w:val="WPNormal"/>
        <w:tabs>
          <w:tab w:val="left" w:pos="-720"/>
          <w:tab w:val="left" w:pos="0"/>
          <w:tab w:val="left" w:pos="720"/>
          <w:tab w:val="left" w:pos="1440"/>
          <w:tab w:val="left" w:pos="2160"/>
          <w:tab w:val="left" w:pos="2880"/>
        </w:tabs>
        <w:jc w:val="center"/>
        <w:rPr>
          <w:rFonts w:ascii="Palatino" w:hAnsi="Palatino"/>
          <w:b/>
          <w:sz w:val="20"/>
        </w:rPr>
      </w:pPr>
      <w:bookmarkStart w:id="18" w:name="_GoBack"/>
      <w:bookmarkEnd w:id="18"/>
    </w:p>
    <w:sectPr w:rsidR="00D86069" w:rsidSect="00E9460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3B94" w14:textId="77777777" w:rsidR="0054551F" w:rsidRDefault="0054551F" w:rsidP="008C4A02">
      <w:r>
        <w:separator/>
      </w:r>
    </w:p>
  </w:endnote>
  <w:endnote w:type="continuationSeparator" w:id="0">
    <w:p w14:paraId="2BB61ECE" w14:textId="77777777" w:rsidR="0054551F" w:rsidRDefault="0054551F"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0612" w14:textId="77777777" w:rsidR="0054551F" w:rsidRDefault="0054551F" w:rsidP="008C4A02">
      <w:r>
        <w:separator/>
      </w:r>
    </w:p>
  </w:footnote>
  <w:footnote w:type="continuationSeparator" w:id="0">
    <w:p w14:paraId="29117F13" w14:textId="77777777" w:rsidR="0054551F" w:rsidRDefault="0054551F"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E466B"/>
    <w:multiLevelType w:val="hybridMultilevel"/>
    <w:tmpl w:val="70328AFE"/>
    <w:lvl w:ilvl="0" w:tplc="5EB25D6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7"/>
  </w:num>
  <w:num w:numId="5">
    <w:abstractNumId w:val="2"/>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0AD9"/>
    <w:rsid w:val="00082CD2"/>
    <w:rsid w:val="001649FC"/>
    <w:rsid w:val="00287A7E"/>
    <w:rsid w:val="002D5AF9"/>
    <w:rsid w:val="002E5E61"/>
    <w:rsid w:val="0031758E"/>
    <w:rsid w:val="003455EA"/>
    <w:rsid w:val="0039772B"/>
    <w:rsid w:val="0041055E"/>
    <w:rsid w:val="004815F6"/>
    <w:rsid w:val="00482F82"/>
    <w:rsid w:val="00493842"/>
    <w:rsid w:val="004B3771"/>
    <w:rsid w:val="004D67DB"/>
    <w:rsid w:val="004F6187"/>
    <w:rsid w:val="0054551F"/>
    <w:rsid w:val="005B49F9"/>
    <w:rsid w:val="00625862"/>
    <w:rsid w:val="00666D40"/>
    <w:rsid w:val="00680EAE"/>
    <w:rsid w:val="0068124F"/>
    <w:rsid w:val="006C1C27"/>
    <w:rsid w:val="00792A18"/>
    <w:rsid w:val="007A647F"/>
    <w:rsid w:val="007C629C"/>
    <w:rsid w:val="007E34EE"/>
    <w:rsid w:val="00804B16"/>
    <w:rsid w:val="00825FE1"/>
    <w:rsid w:val="00835C96"/>
    <w:rsid w:val="008B6D06"/>
    <w:rsid w:val="008C4A02"/>
    <w:rsid w:val="00971B4D"/>
    <w:rsid w:val="009C7053"/>
    <w:rsid w:val="009F6411"/>
    <w:rsid w:val="00AD58F2"/>
    <w:rsid w:val="00B160E2"/>
    <w:rsid w:val="00C072B5"/>
    <w:rsid w:val="00C10B50"/>
    <w:rsid w:val="00C46FDC"/>
    <w:rsid w:val="00D00769"/>
    <w:rsid w:val="00D26A97"/>
    <w:rsid w:val="00D42DCA"/>
    <w:rsid w:val="00D7095D"/>
    <w:rsid w:val="00D86069"/>
    <w:rsid w:val="00DB1958"/>
    <w:rsid w:val="00E12B63"/>
    <w:rsid w:val="00E64426"/>
    <w:rsid w:val="00E94608"/>
    <w:rsid w:val="00ED0333"/>
    <w:rsid w:val="00ED35DC"/>
    <w:rsid w:val="00F1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7A647F"/>
  </w:style>
  <w:style w:type="paragraph" w:styleId="BalloonText">
    <w:name w:val="Balloon Text"/>
    <w:basedOn w:val="Normal"/>
    <w:link w:val="BalloonTextChar"/>
    <w:uiPriority w:val="99"/>
    <w:semiHidden/>
    <w:unhideWhenUsed/>
    <w:rsid w:val="00C07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504E-6DE2-410A-9257-C6A67FA1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2024-08-29T15:12:00Z</cp:lastPrinted>
  <dcterms:created xsi:type="dcterms:W3CDTF">2024-12-10T19:07:00Z</dcterms:created>
  <dcterms:modified xsi:type="dcterms:W3CDTF">2024-12-10T19:07:00Z</dcterms:modified>
</cp:coreProperties>
</file>