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36B" w:rsidRPr="00B14E67" w:rsidRDefault="006F20D8" w:rsidP="00240163">
      <w:pPr>
        <w:jc w:val="center"/>
        <w:rPr>
          <w:rFonts w:ascii="Times New Roman" w:hAnsi="Times New Roman"/>
          <w:b/>
          <w:sz w:val="24"/>
          <w:szCs w:val="24"/>
        </w:rPr>
      </w:pPr>
      <w:bookmarkStart w:id="0" w:name="_GoBack"/>
      <w:bookmarkEnd w:id="0"/>
      <w:r w:rsidRPr="00B14E67">
        <w:rPr>
          <w:rFonts w:ascii="Times New Roman" w:hAnsi="Times New Roman"/>
          <w:b/>
          <w:sz w:val="24"/>
          <w:szCs w:val="24"/>
        </w:rPr>
        <w:t>POTPOURRI</w:t>
      </w:r>
    </w:p>
    <w:p w:rsidR="006F20D8" w:rsidRPr="00B14E67" w:rsidRDefault="006F20D8" w:rsidP="00240163">
      <w:pPr>
        <w:spacing w:line="240" w:lineRule="exact"/>
        <w:jc w:val="center"/>
        <w:rPr>
          <w:rFonts w:ascii="Times New Roman" w:hAnsi="Times New Roman"/>
          <w:sz w:val="24"/>
          <w:szCs w:val="24"/>
        </w:rPr>
      </w:pPr>
    </w:p>
    <w:p w:rsidR="006F20D8" w:rsidRPr="00B14E67" w:rsidRDefault="006F20D8" w:rsidP="00240163">
      <w:pPr>
        <w:jc w:val="center"/>
        <w:rPr>
          <w:rFonts w:ascii="Times New Roman" w:hAnsi="Times New Roman"/>
          <w:b/>
          <w:sz w:val="24"/>
          <w:szCs w:val="24"/>
        </w:rPr>
      </w:pPr>
      <w:r w:rsidRPr="00B14E67">
        <w:rPr>
          <w:rFonts w:ascii="Times New Roman" w:hAnsi="Times New Roman"/>
          <w:b/>
          <w:sz w:val="24"/>
          <w:szCs w:val="24"/>
        </w:rPr>
        <w:t>Department of Environmental Quality</w:t>
      </w:r>
    </w:p>
    <w:p w:rsidR="006F20D8" w:rsidRPr="00B14E67" w:rsidRDefault="006F20D8" w:rsidP="00240163">
      <w:pPr>
        <w:jc w:val="center"/>
        <w:rPr>
          <w:rFonts w:ascii="Times New Roman" w:hAnsi="Times New Roman"/>
          <w:b/>
          <w:sz w:val="24"/>
          <w:szCs w:val="24"/>
        </w:rPr>
      </w:pPr>
      <w:r w:rsidRPr="00B14E67">
        <w:rPr>
          <w:rFonts w:ascii="Times New Roman" w:hAnsi="Times New Roman"/>
          <w:b/>
          <w:sz w:val="24"/>
          <w:szCs w:val="24"/>
        </w:rPr>
        <w:t>Office of Environmental Services</w:t>
      </w:r>
    </w:p>
    <w:p w:rsidR="006F20D8" w:rsidRPr="00B14E67" w:rsidRDefault="006F20D8" w:rsidP="00240163">
      <w:pPr>
        <w:jc w:val="center"/>
        <w:rPr>
          <w:rFonts w:ascii="Times New Roman" w:hAnsi="Times New Roman"/>
          <w:b/>
          <w:sz w:val="24"/>
          <w:szCs w:val="24"/>
        </w:rPr>
      </w:pPr>
      <w:r w:rsidRPr="00B14E67">
        <w:rPr>
          <w:rFonts w:ascii="Times New Roman" w:hAnsi="Times New Roman"/>
          <w:b/>
          <w:sz w:val="24"/>
          <w:szCs w:val="24"/>
        </w:rPr>
        <w:t>Air Permits Division</w:t>
      </w:r>
    </w:p>
    <w:p w:rsidR="006F20D8" w:rsidRPr="00B14E67" w:rsidRDefault="006F20D8" w:rsidP="00240163">
      <w:pPr>
        <w:spacing w:line="240" w:lineRule="exact"/>
        <w:jc w:val="center"/>
        <w:rPr>
          <w:rFonts w:ascii="Times New Roman" w:hAnsi="Times New Roman"/>
          <w:sz w:val="24"/>
          <w:szCs w:val="24"/>
        </w:rPr>
      </w:pPr>
    </w:p>
    <w:p w:rsidR="006F20D8" w:rsidRPr="00B14E67" w:rsidRDefault="00240163" w:rsidP="00323282">
      <w:pPr>
        <w:jc w:val="center"/>
        <w:rPr>
          <w:rFonts w:ascii="Times New Roman" w:hAnsi="Times New Roman"/>
          <w:b/>
          <w:sz w:val="24"/>
          <w:szCs w:val="24"/>
        </w:rPr>
      </w:pPr>
      <w:r>
        <w:rPr>
          <w:rFonts w:ascii="Times New Roman" w:hAnsi="Times New Roman"/>
          <w:b/>
          <w:sz w:val="24"/>
          <w:szCs w:val="24"/>
        </w:rPr>
        <w:t>Contiguous or Adjacent Properties in the Oil and Natural Gas Sector</w:t>
      </w:r>
    </w:p>
    <w:p w:rsidR="006F20D8" w:rsidRPr="00453016" w:rsidRDefault="006F20D8" w:rsidP="00323282">
      <w:pPr>
        <w:spacing w:line="240" w:lineRule="exact"/>
        <w:rPr>
          <w:rFonts w:ascii="Times New Roman" w:hAnsi="Times New Roman"/>
          <w:sz w:val="24"/>
          <w:szCs w:val="24"/>
        </w:rPr>
      </w:pPr>
    </w:p>
    <w:p w:rsidR="00F00483" w:rsidRPr="00453016" w:rsidRDefault="00F00483" w:rsidP="00323282">
      <w:pPr>
        <w:spacing w:line="240" w:lineRule="exact"/>
        <w:rPr>
          <w:rFonts w:ascii="Times New Roman" w:hAnsi="Times New Roman"/>
          <w:sz w:val="24"/>
          <w:szCs w:val="24"/>
        </w:rPr>
      </w:pPr>
    </w:p>
    <w:p w:rsidR="00427375" w:rsidRPr="00453016" w:rsidRDefault="00427375" w:rsidP="00323282">
      <w:pPr>
        <w:spacing w:line="240" w:lineRule="exact"/>
        <w:ind w:firstLine="720"/>
        <w:rPr>
          <w:rFonts w:ascii="Times New Roman" w:hAnsi="Times New Roman"/>
          <w:sz w:val="24"/>
          <w:szCs w:val="24"/>
        </w:rPr>
      </w:pPr>
      <w:r w:rsidRPr="00453016">
        <w:rPr>
          <w:rFonts w:ascii="Times New Roman" w:hAnsi="Times New Roman"/>
          <w:sz w:val="24"/>
          <w:szCs w:val="24"/>
        </w:rPr>
        <w:t xml:space="preserve">LAC 33:III.502.A defines </w:t>
      </w:r>
      <w:r w:rsidR="00C12C19">
        <w:rPr>
          <w:rFonts w:ascii="Times New Roman" w:hAnsi="Times New Roman"/>
          <w:sz w:val="24"/>
          <w:szCs w:val="24"/>
        </w:rPr>
        <w:t xml:space="preserve">a </w:t>
      </w:r>
      <w:r w:rsidR="000D22BB" w:rsidRPr="000D22BB">
        <w:rPr>
          <w:rFonts w:ascii="Times New Roman" w:hAnsi="Times New Roman"/>
          <w:i/>
          <w:sz w:val="24"/>
          <w:szCs w:val="24"/>
        </w:rPr>
        <w:t>major source</w:t>
      </w:r>
      <w:r w:rsidRPr="00453016">
        <w:rPr>
          <w:rFonts w:ascii="Times New Roman" w:hAnsi="Times New Roman"/>
          <w:sz w:val="24"/>
          <w:szCs w:val="24"/>
        </w:rPr>
        <w:t xml:space="preserve"> as “any stationary source or any group of stationary sources </w:t>
      </w:r>
      <w:r w:rsidR="00EC29D5" w:rsidRPr="00453016">
        <w:rPr>
          <w:rFonts w:ascii="Times New Roman" w:hAnsi="Times New Roman"/>
          <w:sz w:val="24"/>
          <w:szCs w:val="24"/>
        </w:rPr>
        <w:t xml:space="preserve">that are located on one or more contiguous or adjacent properties, that are under common control of the same person (or persons under common control),” and that emits or has the potential to emit </w:t>
      </w:r>
      <w:r w:rsidR="00C12C19">
        <w:rPr>
          <w:rFonts w:ascii="Times New Roman" w:hAnsi="Times New Roman"/>
          <w:sz w:val="24"/>
          <w:szCs w:val="24"/>
        </w:rPr>
        <w:t xml:space="preserve">regulated air </w:t>
      </w:r>
      <w:r w:rsidR="00EC29D5" w:rsidRPr="00453016">
        <w:rPr>
          <w:rFonts w:ascii="Times New Roman" w:hAnsi="Times New Roman"/>
          <w:sz w:val="24"/>
          <w:szCs w:val="24"/>
        </w:rPr>
        <w:t xml:space="preserve">pollutants above </w:t>
      </w:r>
      <w:r w:rsidR="00E82875" w:rsidRPr="00453016">
        <w:rPr>
          <w:rFonts w:ascii="Times New Roman" w:hAnsi="Times New Roman"/>
          <w:sz w:val="24"/>
          <w:szCs w:val="24"/>
        </w:rPr>
        <w:t>certain</w:t>
      </w:r>
      <w:r w:rsidR="00EC29D5" w:rsidRPr="00453016">
        <w:rPr>
          <w:rFonts w:ascii="Times New Roman" w:hAnsi="Times New Roman"/>
          <w:sz w:val="24"/>
          <w:szCs w:val="24"/>
        </w:rPr>
        <w:t xml:space="preserve"> thresholds.</w:t>
      </w:r>
      <w:r w:rsidR="00994ACE">
        <w:rPr>
          <w:rFonts w:ascii="Times New Roman" w:hAnsi="Times New Roman"/>
          <w:sz w:val="24"/>
          <w:szCs w:val="24"/>
        </w:rPr>
        <w:t xml:space="preserve"> (1607Pot2)</w:t>
      </w:r>
    </w:p>
    <w:p w:rsidR="00EE0CC7" w:rsidRPr="00453016" w:rsidRDefault="00EE0CC7" w:rsidP="00323282">
      <w:pPr>
        <w:spacing w:line="240" w:lineRule="exact"/>
        <w:rPr>
          <w:rFonts w:ascii="Times New Roman" w:hAnsi="Times New Roman"/>
          <w:sz w:val="24"/>
          <w:szCs w:val="24"/>
        </w:rPr>
      </w:pPr>
    </w:p>
    <w:p w:rsidR="00240163" w:rsidRPr="00453016" w:rsidRDefault="00EC29D5" w:rsidP="00323282">
      <w:pPr>
        <w:spacing w:line="240" w:lineRule="exact"/>
        <w:ind w:firstLine="720"/>
        <w:rPr>
          <w:rFonts w:ascii="Times New Roman" w:hAnsi="Times New Roman"/>
          <w:sz w:val="24"/>
          <w:szCs w:val="24"/>
        </w:rPr>
      </w:pPr>
      <w:r w:rsidRPr="00453016">
        <w:rPr>
          <w:rFonts w:ascii="Times New Roman" w:hAnsi="Times New Roman"/>
          <w:sz w:val="24"/>
          <w:szCs w:val="24"/>
        </w:rPr>
        <w:t>LAC 33:III.504.K (Nonattainment New Source Review) and LAC 33:III.509.B (Prevention of Sig</w:t>
      </w:r>
      <w:r w:rsidR="000D22BB">
        <w:rPr>
          <w:rFonts w:ascii="Times New Roman" w:hAnsi="Times New Roman"/>
          <w:sz w:val="24"/>
          <w:szCs w:val="24"/>
        </w:rPr>
        <w:t xml:space="preserve">nificant Deterioration) define </w:t>
      </w:r>
      <w:r w:rsidR="00240163" w:rsidRPr="000D22BB">
        <w:rPr>
          <w:rFonts w:ascii="Times New Roman" w:hAnsi="Times New Roman"/>
          <w:i/>
          <w:sz w:val="24"/>
          <w:szCs w:val="24"/>
        </w:rPr>
        <w:t>building, struc</w:t>
      </w:r>
      <w:r w:rsidR="000D22BB" w:rsidRPr="000D22BB">
        <w:rPr>
          <w:rFonts w:ascii="Times New Roman" w:hAnsi="Times New Roman"/>
          <w:i/>
          <w:sz w:val="24"/>
          <w:szCs w:val="24"/>
        </w:rPr>
        <w:t>ture, facility, or installation</w:t>
      </w:r>
      <w:r w:rsidR="00240163" w:rsidRPr="00453016">
        <w:rPr>
          <w:rFonts w:ascii="Times New Roman" w:hAnsi="Times New Roman"/>
          <w:sz w:val="24"/>
          <w:szCs w:val="24"/>
        </w:rPr>
        <w:t xml:space="preserve"> i</w:t>
      </w:r>
      <w:r w:rsidRPr="00453016">
        <w:rPr>
          <w:rFonts w:ascii="Times New Roman" w:hAnsi="Times New Roman"/>
          <w:sz w:val="24"/>
          <w:szCs w:val="24"/>
        </w:rPr>
        <w:t>n similar f</w:t>
      </w:r>
      <w:r w:rsidR="00240163" w:rsidRPr="00453016">
        <w:rPr>
          <w:rFonts w:ascii="Times New Roman" w:hAnsi="Times New Roman"/>
          <w:sz w:val="24"/>
          <w:szCs w:val="24"/>
        </w:rPr>
        <w:t>ashion, as “all of the pollutant-emitting activities that belong to the same industrial grouping, are located on one or more contiguous or adjacent properties, and are under the control of the same person (or persons under common control).”</w:t>
      </w:r>
    </w:p>
    <w:p w:rsidR="00240163" w:rsidRPr="00453016" w:rsidRDefault="00240163" w:rsidP="00323282">
      <w:pPr>
        <w:spacing w:line="240" w:lineRule="exact"/>
        <w:rPr>
          <w:rFonts w:ascii="Times New Roman" w:hAnsi="Times New Roman"/>
          <w:sz w:val="24"/>
          <w:szCs w:val="24"/>
        </w:rPr>
      </w:pPr>
    </w:p>
    <w:p w:rsidR="00E82875" w:rsidRPr="00240163" w:rsidRDefault="000D22BB" w:rsidP="00323282">
      <w:pPr>
        <w:spacing w:line="240" w:lineRule="exact"/>
        <w:ind w:firstLine="720"/>
        <w:rPr>
          <w:rFonts w:ascii="Times New Roman" w:hAnsi="Times New Roman"/>
          <w:sz w:val="24"/>
          <w:szCs w:val="24"/>
        </w:rPr>
      </w:pPr>
      <w:r>
        <w:rPr>
          <w:rFonts w:ascii="Times New Roman" w:hAnsi="Times New Roman"/>
          <w:sz w:val="24"/>
          <w:szCs w:val="24"/>
        </w:rPr>
        <w:t xml:space="preserve">The terms </w:t>
      </w:r>
      <w:r w:rsidR="002C1E68" w:rsidRPr="000D22BB">
        <w:rPr>
          <w:rFonts w:ascii="Times New Roman" w:hAnsi="Times New Roman"/>
          <w:i/>
          <w:sz w:val="24"/>
          <w:szCs w:val="24"/>
        </w:rPr>
        <w:t>con</w:t>
      </w:r>
      <w:r w:rsidRPr="000D22BB">
        <w:rPr>
          <w:rFonts w:ascii="Times New Roman" w:hAnsi="Times New Roman"/>
          <w:i/>
          <w:sz w:val="24"/>
          <w:szCs w:val="24"/>
        </w:rPr>
        <w:t>tiguous</w:t>
      </w:r>
      <w:r>
        <w:rPr>
          <w:rFonts w:ascii="Times New Roman" w:hAnsi="Times New Roman"/>
          <w:sz w:val="24"/>
          <w:szCs w:val="24"/>
        </w:rPr>
        <w:t xml:space="preserve"> and </w:t>
      </w:r>
      <w:r w:rsidRPr="000D22BB">
        <w:rPr>
          <w:rFonts w:ascii="Times New Roman" w:hAnsi="Times New Roman"/>
          <w:i/>
          <w:sz w:val="24"/>
          <w:szCs w:val="24"/>
        </w:rPr>
        <w:t>adjacent</w:t>
      </w:r>
      <w:r w:rsidR="002C1E68" w:rsidRPr="00453016">
        <w:rPr>
          <w:rFonts w:ascii="Times New Roman" w:hAnsi="Times New Roman"/>
          <w:sz w:val="24"/>
          <w:szCs w:val="24"/>
        </w:rPr>
        <w:t xml:space="preserve"> are not defined </w:t>
      </w:r>
      <w:r w:rsidR="00453016" w:rsidRPr="00453016">
        <w:rPr>
          <w:rFonts w:ascii="Times New Roman" w:hAnsi="Times New Roman"/>
          <w:sz w:val="24"/>
          <w:szCs w:val="24"/>
        </w:rPr>
        <w:t xml:space="preserve">in </w:t>
      </w:r>
      <w:r w:rsidR="002C1E68" w:rsidRPr="00453016">
        <w:rPr>
          <w:rFonts w:ascii="Times New Roman" w:hAnsi="Times New Roman"/>
          <w:sz w:val="24"/>
          <w:szCs w:val="24"/>
        </w:rPr>
        <w:t>the Louisiana ai</w:t>
      </w:r>
      <w:r w:rsidR="00453016" w:rsidRPr="00453016">
        <w:rPr>
          <w:rFonts w:ascii="Times New Roman" w:hAnsi="Times New Roman"/>
          <w:sz w:val="24"/>
          <w:szCs w:val="24"/>
        </w:rPr>
        <w:t>r quality regulations.</w:t>
      </w:r>
      <w:r w:rsidR="00672A0D">
        <w:rPr>
          <w:rFonts w:ascii="Times New Roman" w:hAnsi="Times New Roman"/>
          <w:sz w:val="24"/>
          <w:szCs w:val="24"/>
        </w:rPr>
        <w:t xml:space="preserve">  </w:t>
      </w:r>
      <w:r w:rsidR="00453016" w:rsidRPr="00453016">
        <w:rPr>
          <w:rFonts w:ascii="Times New Roman" w:hAnsi="Times New Roman"/>
          <w:sz w:val="24"/>
          <w:szCs w:val="24"/>
        </w:rPr>
        <w:t>T</w:t>
      </w:r>
      <w:r w:rsidR="002C1E68" w:rsidRPr="00453016">
        <w:rPr>
          <w:rFonts w:ascii="Times New Roman" w:hAnsi="Times New Roman"/>
          <w:sz w:val="24"/>
          <w:szCs w:val="24"/>
        </w:rPr>
        <w:t>he Lo</w:t>
      </w:r>
      <w:r w:rsidR="00453016" w:rsidRPr="00453016">
        <w:rPr>
          <w:rFonts w:ascii="Times New Roman" w:hAnsi="Times New Roman"/>
          <w:sz w:val="24"/>
          <w:szCs w:val="24"/>
        </w:rPr>
        <w:t xml:space="preserve">uisiana Department of Environmental Quality (LDEQ) currently determines if </w:t>
      </w:r>
      <w:r w:rsidR="0038006C">
        <w:rPr>
          <w:rFonts w:ascii="Times New Roman" w:hAnsi="Times New Roman"/>
          <w:sz w:val="24"/>
          <w:szCs w:val="24"/>
        </w:rPr>
        <w:t>stationary sources</w:t>
      </w:r>
      <w:r w:rsidR="00453016" w:rsidRPr="00453016">
        <w:rPr>
          <w:rFonts w:ascii="Times New Roman" w:hAnsi="Times New Roman"/>
          <w:sz w:val="24"/>
          <w:szCs w:val="24"/>
        </w:rPr>
        <w:t xml:space="preserve"> in the oil and natural gas sector</w:t>
      </w:r>
      <w:r w:rsidR="00672A0D">
        <w:rPr>
          <w:rFonts w:ascii="Times New Roman" w:hAnsi="Times New Roman"/>
          <w:sz w:val="24"/>
          <w:szCs w:val="24"/>
        </w:rPr>
        <w:t xml:space="preserve"> (i.e., standard industrial classification (SIC) major group 13)</w:t>
      </w:r>
      <w:r w:rsidR="00453016" w:rsidRPr="00453016">
        <w:rPr>
          <w:rFonts w:ascii="Times New Roman" w:hAnsi="Times New Roman"/>
          <w:sz w:val="24"/>
          <w:szCs w:val="24"/>
        </w:rPr>
        <w:t xml:space="preserve"> are “contiguous or adjacent” on a case-by-case basis as described </w:t>
      </w:r>
      <w:r w:rsidR="00525539">
        <w:rPr>
          <w:rFonts w:ascii="Times New Roman" w:hAnsi="Times New Roman"/>
          <w:sz w:val="24"/>
          <w:szCs w:val="24"/>
        </w:rPr>
        <w:t>on</w:t>
      </w:r>
      <w:r w:rsidR="00453016" w:rsidRPr="00453016">
        <w:rPr>
          <w:rFonts w:ascii="Times New Roman" w:hAnsi="Times New Roman"/>
          <w:sz w:val="24"/>
          <w:szCs w:val="24"/>
        </w:rPr>
        <w:t xml:space="preserve"> the </w:t>
      </w:r>
      <w:r w:rsidR="00B0032E">
        <w:rPr>
          <w:rFonts w:ascii="Times New Roman" w:hAnsi="Times New Roman"/>
          <w:sz w:val="24"/>
          <w:szCs w:val="24"/>
        </w:rPr>
        <w:t xml:space="preserve">LDEQ </w:t>
      </w:r>
      <w:r w:rsidR="00453016" w:rsidRPr="00453016">
        <w:rPr>
          <w:rFonts w:ascii="Times New Roman" w:hAnsi="Times New Roman"/>
          <w:sz w:val="24"/>
          <w:szCs w:val="24"/>
        </w:rPr>
        <w:t>Air Permits Division’s webpage entitled “</w:t>
      </w:r>
      <w:r w:rsidR="00453016" w:rsidRPr="00453016">
        <w:rPr>
          <w:rStyle w:val="moduletitle"/>
          <w:rFonts w:ascii="Times New Roman" w:hAnsi="Times New Roman"/>
          <w:kern w:val="36"/>
          <w:sz w:val="24"/>
          <w:szCs w:val="24"/>
        </w:rPr>
        <w:t>Interpretation of Contiguous for Oil &amp; Gas Production Facilities</w:t>
      </w:r>
      <w:r w:rsidR="00453016">
        <w:rPr>
          <w:rStyle w:val="moduletitle"/>
          <w:rFonts w:ascii="Times New Roman" w:hAnsi="Times New Roman"/>
          <w:kern w:val="36"/>
          <w:sz w:val="24"/>
          <w:szCs w:val="24"/>
        </w:rPr>
        <w:t>” (</w:t>
      </w:r>
      <w:r w:rsidR="00453016" w:rsidRPr="00453016">
        <w:rPr>
          <w:rFonts w:ascii="Times New Roman" w:hAnsi="Times New Roman"/>
          <w:sz w:val="24"/>
          <w:szCs w:val="24"/>
        </w:rPr>
        <w:t>http://www.deq.louisiana.gov/portal/tabid/2347/Default.aspx</w:t>
      </w:r>
      <w:r w:rsidR="00453016">
        <w:rPr>
          <w:rFonts w:ascii="Times New Roman" w:hAnsi="Times New Roman"/>
          <w:sz w:val="24"/>
          <w:szCs w:val="24"/>
        </w:rPr>
        <w:t>).</w:t>
      </w:r>
    </w:p>
    <w:p w:rsidR="00453016" w:rsidRDefault="00453016" w:rsidP="00323282">
      <w:pPr>
        <w:spacing w:line="240" w:lineRule="exact"/>
        <w:rPr>
          <w:rFonts w:ascii="Times New Roman" w:hAnsi="Times New Roman"/>
          <w:sz w:val="24"/>
          <w:szCs w:val="24"/>
        </w:rPr>
      </w:pPr>
    </w:p>
    <w:p w:rsidR="00672A0D" w:rsidRPr="00B46BA2" w:rsidRDefault="00EE0CC7" w:rsidP="00323282">
      <w:pPr>
        <w:spacing w:line="240" w:lineRule="exact"/>
        <w:ind w:firstLine="720"/>
        <w:rPr>
          <w:rFonts w:ascii="Times New Roman" w:hAnsi="Times New Roman"/>
          <w:sz w:val="24"/>
          <w:szCs w:val="24"/>
        </w:rPr>
      </w:pPr>
      <w:r w:rsidRPr="00EE0CC7">
        <w:rPr>
          <w:rFonts w:ascii="Times New Roman" w:hAnsi="Times New Roman"/>
          <w:sz w:val="24"/>
          <w:szCs w:val="24"/>
        </w:rPr>
        <w:t>On June 3, 2016, the U.S. Environmental Protection Agency (EPA) promulgated a rule entitled “</w:t>
      </w:r>
      <w:r w:rsidRPr="00EE0CC7">
        <w:rPr>
          <w:rFonts w:ascii="Times New Roman" w:hAnsi="Times New Roman"/>
          <w:bCs/>
          <w:sz w:val="24"/>
          <w:szCs w:val="24"/>
        </w:rPr>
        <w:t>Source Determination for Certain Emission Units in the Oil and Natural Gas Sector”</w:t>
      </w:r>
      <w:r w:rsidR="00B46BA2">
        <w:rPr>
          <w:rFonts w:ascii="Times New Roman" w:hAnsi="Times New Roman"/>
          <w:bCs/>
          <w:sz w:val="24"/>
          <w:szCs w:val="24"/>
        </w:rPr>
        <w:t xml:space="preserve"> (81 FR 35622).  </w:t>
      </w:r>
      <w:r w:rsidR="00B46BA2">
        <w:rPr>
          <w:rFonts w:ascii="Times New Roman" w:hAnsi="Times New Roman"/>
          <w:sz w:val="24"/>
          <w:szCs w:val="24"/>
        </w:rPr>
        <w:t xml:space="preserve">According to this rule, </w:t>
      </w:r>
      <w:r w:rsidR="00B46BA2" w:rsidRPr="00B46BA2">
        <w:rPr>
          <w:rFonts w:ascii="Times New Roman" w:hAnsi="Times New Roman"/>
          <w:sz w:val="24"/>
          <w:szCs w:val="24"/>
        </w:rPr>
        <w:t>pollutant emitting activities shall be considered adjacent</w:t>
      </w:r>
      <w:r w:rsidR="00B46BA2">
        <w:rPr>
          <w:rFonts w:ascii="Times New Roman" w:hAnsi="Times New Roman"/>
          <w:sz w:val="24"/>
          <w:szCs w:val="24"/>
        </w:rPr>
        <w:t xml:space="preserve"> if:</w:t>
      </w:r>
    </w:p>
    <w:p w:rsidR="00672A0D" w:rsidRPr="00B46BA2" w:rsidRDefault="00672A0D" w:rsidP="00323282">
      <w:pPr>
        <w:spacing w:line="240" w:lineRule="exact"/>
        <w:rPr>
          <w:rFonts w:ascii="Times New Roman" w:hAnsi="Times New Roman"/>
          <w:sz w:val="24"/>
          <w:szCs w:val="24"/>
        </w:rPr>
      </w:pPr>
    </w:p>
    <w:p w:rsidR="00672A0D" w:rsidRPr="00B46BA2" w:rsidRDefault="00B46BA2" w:rsidP="00323282">
      <w:pPr>
        <w:autoSpaceDE w:val="0"/>
        <w:autoSpaceDN w:val="0"/>
        <w:adjustRightInd w:val="0"/>
        <w:spacing w:line="240" w:lineRule="exact"/>
        <w:ind w:left="720" w:right="720"/>
        <w:rPr>
          <w:rFonts w:ascii="Times New Roman" w:hAnsi="Times New Roman"/>
          <w:sz w:val="24"/>
          <w:szCs w:val="24"/>
        </w:rPr>
      </w:pPr>
      <w:proofErr w:type="gramStart"/>
      <w:r w:rsidRPr="00B46BA2">
        <w:rPr>
          <w:rFonts w:ascii="Times New Roman" w:hAnsi="Times New Roman"/>
          <w:sz w:val="24"/>
          <w:szCs w:val="24"/>
        </w:rPr>
        <w:t>they</w:t>
      </w:r>
      <w:proofErr w:type="gramEnd"/>
      <w:r w:rsidRPr="00B46BA2">
        <w:rPr>
          <w:rFonts w:ascii="Times New Roman" w:hAnsi="Times New Roman"/>
          <w:sz w:val="24"/>
          <w:szCs w:val="24"/>
        </w:rPr>
        <w:t xml:space="preserve"> are located on the same surface site; or if they are located on surface sites that are located within </w:t>
      </w:r>
      <w:r w:rsidRPr="00EE0CC7">
        <w:rPr>
          <w:rFonts w:ascii="Times New Roman" w:hAnsi="Times New Roman"/>
          <w:sz w:val="24"/>
          <w:szCs w:val="24"/>
        </w:rPr>
        <w:t>¼</w:t>
      </w:r>
      <w:r w:rsidRPr="00B46BA2">
        <w:rPr>
          <w:rFonts w:ascii="Times New Roman" w:hAnsi="Times New Roman"/>
          <w:sz w:val="24"/>
          <w:szCs w:val="24"/>
        </w:rPr>
        <w:t xml:space="preserve"> mile of one another (measured from the center of the equipment on the surface site) and they share equipment. </w:t>
      </w:r>
      <w:r w:rsidR="00B70EFD">
        <w:rPr>
          <w:rFonts w:ascii="Times New Roman" w:hAnsi="Times New Roman"/>
          <w:sz w:val="24"/>
          <w:szCs w:val="24"/>
        </w:rPr>
        <w:t xml:space="preserve"> </w:t>
      </w:r>
      <w:r w:rsidRPr="00B46BA2">
        <w:rPr>
          <w:rFonts w:ascii="Times New Roman" w:hAnsi="Times New Roman"/>
          <w:sz w:val="24"/>
          <w:szCs w:val="24"/>
        </w:rPr>
        <w:t>Shared equipment includes, but is not limited to, produced fluids storage tanks, phase separators, natural gas dehydrators or emissions control devices.  Surface site, as used in the introductory text of this definition, has the same meaning as in 40 CFR 63.761.</w:t>
      </w:r>
    </w:p>
    <w:p w:rsidR="00B91A06" w:rsidRPr="009623B6" w:rsidRDefault="00B91A06" w:rsidP="00323282">
      <w:pPr>
        <w:spacing w:line="240" w:lineRule="exact"/>
        <w:rPr>
          <w:rFonts w:ascii="Times New Roman" w:hAnsi="Times New Roman"/>
          <w:sz w:val="24"/>
          <w:szCs w:val="24"/>
        </w:rPr>
      </w:pPr>
    </w:p>
    <w:p w:rsidR="009623B6" w:rsidRPr="009623B6" w:rsidRDefault="00C4545F" w:rsidP="00323282">
      <w:pPr>
        <w:spacing w:line="240" w:lineRule="exact"/>
        <w:ind w:firstLine="720"/>
        <w:rPr>
          <w:rFonts w:ascii="Times New Roman" w:hAnsi="Times New Roman"/>
          <w:sz w:val="24"/>
          <w:szCs w:val="24"/>
        </w:rPr>
      </w:pPr>
      <w:r w:rsidRPr="009623B6">
        <w:rPr>
          <w:rFonts w:ascii="Times New Roman" w:hAnsi="Times New Roman"/>
          <w:sz w:val="24"/>
          <w:szCs w:val="24"/>
        </w:rPr>
        <w:t>However</w:t>
      </w:r>
      <w:r w:rsidR="0038006C" w:rsidRPr="009623B6">
        <w:rPr>
          <w:rFonts w:ascii="Times New Roman" w:hAnsi="Times New Roman"/>
          <w:sz w:val="24"/>
          <w:szCs w:val="24"/>
        </w:rPr>
        <w:t xml:space="preserve">, EPA did not adopt a provision requiring </w:t>
      </w:r>
      <w:r w:rsidR="00EE72DF">
        <w:rPr>
          <w:rFonts w:ascii="Times New Roman" w:hAnsi="Times New Roman"/>
          <w:sz w:val="24"/>
          <w:szCs w:val="24"/>
        </w:rPr>
        <w:t>surface sites</w:t>
      </w:r>
      <w:r w:rsidR="0038006C" w:rsidRPr="009623B6">
        <w:rPr>
          <w:rFonts w:ascii="Times New Roman" w:hAnsi="Times New Roman"/>
          <w:sz w:val="24"/>
          <w:szCs w:val="24"/>
        </w:rPr>
        <w:t xml:space="preserve"> to be “daisy chained” for purpose</w:t>
      </w:r>
      <w:r w:rsidR="00EE72DF">
        <w:rPr>
          <w:rFonts w:ascii="Times New Roman" w:hAnsi="Times New Roman"/>
          <w:sz w:val="24"/>
          <w:szCs w:val="24"/>
        </w:rPr>
        <w:t>s</w:t>
      </w:r>
      <w:r w:rsidR="0038006C" w:rsidRPr="009623B6">
        <w:rPr>
          <w:rFonts w:ascii="Times New Roman" w:hAnsi="Times New Roman"/>
          <w:sz w:val="24"/>
          <w:szCs w:val="24"/>
        </w:rPr>
        <w:t xml:space="preserve"> of defining a single stationary source.</w:t>
      </w:r>
      <w:r w:rsidR="009623B6" w:rsidRPr="009623B6">
        <w:rPr>
          <w:rFonts w:ascii="Times New Roman" w:hAnsi="Times New Roman"/>
          <w:sz w:val="24"/>
          <w:szCs w:val="24"/>
        </w:rPr>
        <w:t xml:space="preserve">  EPA describe</w:t>
      </w:r>
      <w:r w:rsidR="009703F3">
        <w:rPr>
          <w:rFonts w:ascii="Times New Roman" w:hAnsi="Times New Roman"/>
          <w:sz w:val="24"/>
          <w:szCs w:val="24"/>
        </w:rPr>
        <w:t>s</w:t>
      </w:r>
      <w:r w:rsidR="009623B6" w:rsidRPr="009623B6">
        <w:rPr>
          <w:rFonts w:ascii="Times New Roman" w:hAnsi="Times New Roman"/>
          <w:sz w:val="24"/>
          <w:szCs w:val="24"/>
        </w:rPr>
        <w:t xml:space="preserve"> a </w:t>
      </w:r>
      <w:r w:rsidR="009703F3">
        <w:rPr>
          <w:rFonts w:ascii="Times New Roman" w:hAnsi="Times New Roman"/>
          <w:sz w:val="24"/>
          <w:szCs w:val="24"/>
        </w:rPr>
        <w:t>series</w:t>
      </w:r>
      <w:r w:rsidR="009623B6" w:rsidRPr="009623B6">
        <w:rPr>
          <w:rFonts w:ascii="Times New Roman" w:hAnsi="Times New Roman"/>
          <w:sz w:val="24"/>
          <w:szCs w:val="24"/>
        </w:rPr>
        <w:t xml:space="preserve"> of </w:t>
      </w:r>
      <w:r w:rsidR="00EE72DF">
        <w:rPr>
          <w:rFonts w:ascii="Times New Roman" w:hAnsi="Times New Roman"/>
          <w:sz w:val="24"/>
          <w:szCs w:val="24"/>
        </w:rPr>
        <w:t>surface sites</w:t>
      </w:r>
      <w:r w:rsidR="00EE72DF" w:rsidRPr="009623B6">
        <w:rPr>
          <w:rFonts w:ascii="Times New Roman" w:hAnsi="Times New Roman"/>
          <w:sz w:val="24"/>
          <w:szCs w:val="24"/>
        </w:rPr>
        <w:t xml:space="preserve"> </w:t>
      </w:r>
      <w:r w:rsidR="00A961CD">
        <w:rPr>
          <w:rFonts w:ascii="Times New Roman" w:hAnsi="Times New Roman"/>
          <w:sz w:val="24"/>
          <w:szCs w:val="24"/>
        </w:rPr>
        <w:t xml:space="preserve">(under common control) </w:t>
      </w:r>
      <w:r w:rsidR="00B0032E">
        <w:rPr>
          <w:rFonts w:ascii="Times New Roman" w:hAnsi="Times New Roman"/>
          <w:sz w:val="24"/>
          <w:szCs w:val="24"/>
        </w:rPr>
        <w:t>as being daisy chained</w:t>
      </w:r>
      <w:r w:rsidR="009623B6" w:rsidRPr="009623B6">
        <w:rPr>
          <w:rFonts w:ascii="Times New Roman" w:hAnsi="Times New Roman"/>
          <w:sz w:val="24"/>
          <w:szCs w:val="24"/>
        </w:rPr>
        <w:t xml:space="preserve"> when </w:t>
      </w:r>
      <w:r w:rsidR="00280277">
        <w:rPr>
          <w:rFonts w:ascii="Times New Roman" w:hAnsi="Times New Roman"/>
          <w:sz w:val="24"/>
          <w:szCs w:val="24"/>
        </w:rPr>
        <w:t>an</w:t>
      </w:r>
      <w:r w:rsidR="009623B6" w:rsidRPr="009623B6">
        <w:rPr>
          <w:rFonts w:ascii="Times New Roman" w:hAnsi="Times New Roman"/>
          <w:sz w:val="24"/>
          <w:szCs w:val="24"/>
        </w:rPr>
        <w:t xml:space="preserve"> individual </w:t>
      </w:r>
      <w:r w:rsidR="00EE72DF">
        <w:rPr>
          <w:rFonts w:ascii="Times New Roman" w:hAnsi="Times New Roman"/>
          <w:sz w:val="24"/>
          <w:szCs w:val="24"/>
        </w:rPr>
        <w:t>surface site</w:t>
      </w:r>
      <w:r w:rsidR="009623B6" w:rsidRPr="009623B6">
        <w:rPr>
          <w:rFonts w:ascii="Times New Roman" w:hAnsi="Times New Roman"/>
          <w:sz w:val="24"/>
          <w:szCs w:val="24"/>
        </w:rPr>
        <w:t xml:space="preserve"> is located within ¼ mile of </w:t>
      </w:r>
      <w:r w:rsidR="00280277">
        <w:rPr>
          <w:rFonts w:ascii="Times New Roman" w:hAnsi="Times New Roman"/>
          <w:sz w:val="24"/>
          <w:szCs w:val="24"/>
        </w:rPr>
        <w:t>another</w:t>
      </w:r>
      <w:r w:rsidR="009623B6" w:rsidRPr="009623B6">
        <w:rPr>
          <w:rFonts w:ascii="Times New Roman" w:hAnsi="Times New Roman"/>
          <w:sz w:val="24"/>
          <w:szCs w:val="24"/>
        </w:rPr>
        <w:t xml:space="preserve"> </w:t>
      </w:r>
      <w:r w:rsidR="00EE72DF">
        <w:rPr>
          <w:rFonts w:ascii="Times New Roman" w:hAnsi="Times New Roman"/>
          <w:sz w:val="24"/>
          <w:szCs w:val="24"/>
        </w:rPr>
        <w:t>surface site</w:t>
      </w:r>
      <w:r w:rsidR="009623B6" w:rsidRPr="009623B6">
        <w:rPr>
          <w:rFonts w:ascii="Times New Roman" w:hAnsi="Times New Roman"/>
          <w:sz w:val="24"/>
          <w:szCs w:val="24"/>
        </w:rPr>
        <w:t xml:space="preserve">, but where the last </w:t>
      </w:r>
      <w:r w:rsidR="00FD5861">
        <w:rPr>
          <w:rFonts w:ascii="Times New Roman" w:hAnsi="Times New Roman"/>
          <w:sz w:val="24"/>
          <w:szCs w:val="24"/>
        </w:rPr>
        <w:t xml:space="preserve">surface </w:t>
      </w:r>
      <w:r w:rsidR="00EE72DF">
        <w:rPr>
          <w:rFonts w:ascii="Times New Roman" w:hAnsi="Times New Roman"/>
          <w:sz w:val="24"/>
          <w:szCs w:val="24"/>
        </w:rPr>
        <w:t>site</w:t>
      </w:r>
      <w:r w:rsidR="009623B6" w:rsidRPr="009623B6">
        <w:rPr>
          <w:rFonts w:ascii="Times New Roman" w:hAnsi="Times New Roman"/>
          <w:sz w:val="24"/>
          <w:szCs w:val="24"/>
        </w:rPr>
        <w:t xml:space="preserve"> </w:t>
      </w:r>
      <w:r w:rsidR="00280277">
        <w:rPr>
          <w:rFonts w:ascii="Times New Roman" w:hAnsi="Times New Roman"/>
          <w:sz w:val="24"/>
          <w:szCs w:val="24"/>
        </w:rPr>
        <w:t xml:space="preserve">in </w:t>
      </w:r>
      <w:r w:rsidR="00A961CD">
        <w:rPr>
          <w:rFonts w:ascii="Times New Roman" w:hAnsi="Times New Roman"/>
          <w:sz w:val="24"/>
          <w:szCs w:val="24"/>
        </w:rPr>
        <w:t>the</w:t>
      </w:r>
      <w:r w:rsidR="00280277">
        <w:rPr>
          <w:rFonts w:ascii="Times New Roman" w:hAnsi="Times New Roman"/>
          <w:sz w:val="24"/>
          <w:szCs w:val="24"/>
        </w:rPr>
        <w:t xml:space="preserve"> grouping </w:t>
      </w:r>
      <w:r w:rsidR="009623B6" w:rsidRPr="009623B6">
        <w:rPr>
          <w:rFonts w:ascii="Times New Roman" w:hAnsi="Times New Roman"/>
          <w:sz w:val="24"/>
          <w:szCs w:val="24"/>
        </w:rPr>
        <w:t>is separated from the first by a much larger distanc</w:t>
      </w:r>
      <w:r w:rsidR="00EE72DF">
        <w:rPr>
          <w:rFonts w:ascii="Times New Roman" w:hAnsi="Times New Roman"/>
          <w:sz w:val="24"/>
          <w:szCs w:val="24"/>
        </w:rPr>
        <w:t xml:space="preserve">e (i.e., greater than </w:t>
      </w:r>
      <w:r w:rsidR="00EE72DF" w:rsidRPr="009623B6">
        <w:rPr>
          <w:rFonts w:ascii="Times New Roman" w:hAnsi="Times New Roman"/>
          <w:sz w:val="24"/>
          <w:szCs w:val="24"/>
        </w:rPr>
        <w:t>¼ mile</w:t>
      </w:r>
      <w:r w:rsidR="00EE72DF">
        <w:rPr>
          <w:rFonts w:ascii="Times New Roman" w:hAnsi="Times New Roman"/>
          <w:sz w:val="24"/>
          <w:szCs w:val="24"/>
        </w:rPr>
        <w:t>).</w:t>
      </w:r>
    </w:p>
    <w:p w:rsidR="009623B6" w:rsidRPr="009623B6" w:rsidRDefault="009623B6" w:rsidP="00323282">
      <w:pPr>
        <w:spacing w:line="240" w:lineRule="exact"/>
        <w:rPr>
          <w:rFonts w:ascii="Times New Roman" w:hAnsi="Times New Roman"/>
          <w:sz w:val="24"/>
          <w:szCs w:val="24"/>
        </w:rPr>
      </w:pPr>
    </w:p>
    <w:p w:rsidR="007D7879" w:rsidRDefault="00397D4F" w:rsidP="00C12C19">
      <w:pPr>
        <w:spacing w:line="240" w:lineRule="exact"/>
        <w:ind w:firstLine="720"/>
        <w:rPr>
          <w:rFonts w:ascii="Times New Roman" w:hAnsi="Times New Roman"/>
          <w:sz w:val="24"/>
          <w:szCs w:val="24"/>
        </w:rPr>
      </w:pPr>
      <w:r>
        <w:rPr>
          <w:rFonts w:ascii="Times New Roman" w:hAnsi="Times New Roman"/>
          <w:sz w:val="24"/>
          <w:szCs w:val="24"/>
        </w:rPr>
        <w:t xml:space="preserve">The final rule specifies that </w:t>
      </w:r>
      <w:r w:rsidR="00B70EFD">
        <w:rPr>
          <w:rFonts w:ascii="Times New Roman" w:hAnsi="Times New Roman"/>
          <w:sz w:val="24"/>
          <w:szCs w:val="24"/>
        </w:rPr>
        <w:t xml:space="preserve">permitting authorities </w:t>
      </w:r>
      <w:r>
        <w:rPr>
          <w:rFonts w:ascii="Times New Roman" w:hAnsi="Times New Roman"/>
          <w:sz w:val="24"/>
          <w:szCs w:val="24"/>
        </w:rPr>
        <w:t xml:space="preserve">with EPA-approved programs, like Louisiana, </w:t>
      </w:r>
      <w:r w:rsidR="00B70EFD">
        <w:rPr>
          <w:rFonts w:ascii="Times New Roman" w:hAnsi="Times New Roman"/>
          <w:sz w:val="24"/>
          <w:szCs w:val="24"/>
        </w:rPr>
        <w:t>are not req</w:t>
      </w:r>
      <w:r>
        <w:rPr>
          <w:rFonts w:ascii="Times New Roman" w:hAnsi="Times New Roman"/>
          <w:sz w:val="24"/>
          <w:szCs w:val="24"/>
        </w:rPr>
        <w:t xml:space="preserve">uired to adopt this definition.  Nevertheless, </w:t>
      </w:r>
      <w:r w:rsidR="00C12C19">
        <w:rPr>
          <w:rFonts w:ascii="Times New Roman" w:hAnsi="Times New Roman"/>
          <w:sz w:val="24"/>
          <w:szCs w:val="24"/>
        </w:rPr>
        <w:t>for stationary sources</w:t>
      </w:r>
      <w:r w:rsidR="00C12C19" w:rsidRPr="00453016">
        <w:rPr>
          <w:rFonts w:ascii="Times New Roman" w:hAnsi="Times New Roman"/>
          <w:sz w:val="24"/>
          <w:szCs w:val="24"/>
        </w:rPr>
        <w:t xml:space="preserve"> in the oil and natural gas sector</w:t>
      </w:r>
      <w:r w:rsidR="00C12C19">
        <w:rPr>
          <w:rFonts w:ascii="Times New Roman" w:hAnsi="Times New Roman"/>
          <w:sz w:val="24"/>
          <w:szCs w:val="24"/>
        </w:rPr>
        <w:t xml:space="preserve">, </w:t>
      </w:r>
      <w:r w:rsidR="00B91A06">
        <w:rPr>
          <w:rFonts w:ascii="Times New Roman" w:hAnsi="Times New Roman"/>
          <w:sz w:val="24"/>
          <w:szCs w:val="24"/>
        </w:rPr>
        <w:t xml:space="preserve">LDEQ </w:t>
      </w:r>
      <w:r w:rsidR="007D7879">
        <w:rPr>
          <w:rFonts w:ascii="Times New Roman" w:hAnsi="Times New Roman"/>
          <w:sz w:val="24"/>
          <w:szCs w:val="24"/>
        </w:rPr>
        <w:t xml:space="preserve">will now interpret </w:t>
      </w:r>
      <w:r w:rsidR="00B0032E">
        <w:rPr>
          <w:rFonts w:ascii="Times New Roman" w:hAnsi="Times New Roman"/>
          <w:sz w:val="24"/>
          <w:szCs w:val="24"/>
        </w:rPr>
        <w:t xml:space="preserve">the term </w:t>
      </w:r>
      <w:r w:rsidR="00B0032E" w:rsidRPr="00B0032E">
        <w:rPr>
          <w:rFonts w:ascii="Times New Roman" w:hAnsi="Times New Roman"/>
          <w:i/>
          <w:sz w:val="24"/>
          <w:szCs w:val="24"/>
        </w:rPr>
        <w:t>adjacent</w:t>
      </w:r>
      <w:r w:rsidR="007D7879">
        <w:rPr>
          <w:rFonts w:ascii="Times New Roman" w:hAnsi="Times New Roman"/>
          <w:sz w:val="24"/>
          <w:szCs w:val="24"/>
        </w:rPr>
        <w:t xml:space="preserve"> consiste</w:t>
      </w:r>
      <w:r w:rsidR="00525539">
        <w:rPr>
          <w:rFonts w:ascii="Times New Roman" w:hAnsi="Times New Roman"/>
          <w:sz w:val="24"/>
          <w:szCs w:val="24"/>
        </w:rPr>
        <w:t xml:space="preserve">nt with the </w:t>
      </w:r>
      <w:r w:rsidR="00B0032E">
        <w:rPr>
          <w:rFonts w:ascii="Times New Roman" w:hAnsi="Times New Roman"/>
          <w:sz w:val="24"/>
          <w:szCs w:val="24"/>
        </w:rPr>
        <w:t xml:space="preserve">definitions of </w:t>
      </w:r>
      <w:r w:rsidR="00B0032E" w:rsidRPr="00B0032E">
        <w:rPr>
          <w:rFonts w:ascii="Times New Roman" w:hAnsi="Times New Roman"/>
          <w:i/>
          <w:sz w:val="24"/>
          <w:szCs w:val="24"/>
        </w:rPr>
        <w:t>major source</w:t>
      </w:r>
      <w:r w:rsidR="00B0032E">
        <w:rPr>
          <w:rFonts w:ascii="Times New Roman" w:hAnsi="Times New Roman"/>
          <w:sz w:val="24"/>
          <w:szCs w:val="24"/>
        </w:rPr>
        <w:t xml:space="preserve"> under 40 CFR 70.2 and </w:t>
      </w:r>
      <w:r w:rsidR="007D7879" w:rsidRPr="00B0032E">
        <w:rPr>
          <w:rFonts w:ascii="Times New Roman" w:hAnsi="Times New Roman"/>
          <w:i/>
          <w:sz w:val="24"/>
          <w:szCs w:val="24"/>
        </w:rPr>
        <w:t>building, structure, facility, or installation</w:t>
      </w:r>
      <w:r w:rsidR="007D7879">
        <w:rPr>
          <w:rFonts w:ascii="Times New Roman" w:hAnsi="Times New Roman"/>
          <w:sz w:val="24"/>
          <w:szCs w:val="24"/>
        </w:rPr>
        <w:t xml:space="preserve"> under 40 CFR 51.165(a)(1)(ii) and 40 CFR 51.166(b)(6)</w:t>
      </w:r>
      <w:r w:rsidR="00CA33BB">
        <w:rPr>
          <w:rFonts w:ascii="Times New Roman" w:hAnsi="Times New Roman"/>
          <w:sz w:val="24"/>
          <w:szCs w:val="24"/>
        </w:rPr>
        <w:t xml:space="preserve"> </w:t>
      </w:r>
      <w:r w:rsidR="00C12C19">
        <w:rPr>
          <w:rFonts w:ascii="Times New Roman" w:hAnsi="Times New Roman"/>
          <w:sz w:val="24"/>
          <w:szCs w:val="24"/>
        </w:rPr>
        <w:t>in order to be consistent with federal regulations</w:t>
      </w:r>
      <w:r w:rsidR="007D7879">
        <w:rPr>
          <w:rFonts w:ascii="Times New Roman" w:hAnsi="Times New Roman"/>
          <w:sz w:val="24"/>
          <w:szCs w:val="24"/>
        </w:rPr>
        <w:t>.</w:t>
      </w:r>
      <w:r w:rsidR="00815D3A">
        <w:rPr>
          <w:rFonts w:ascii="Times New Roman" w:hAnsi="Times New Roman"/>
          <w:sz w:val="24"/>
          <w:szCs w:val="24"/>
        </w:rPr>
        <w:t xml:space="preserve">  </w:t>
      </w:r>
      <w:r w:rsidR="007D7879">
        <w:rPr>
          <w:rFonts w:ascii="Times New Roman" w:hAnsi="Times New Roman"/>
          <w:sz w:val="24"/>
          <w:szCs w:val="24"/>
        </w:rPr>
        <w:t xml:space="preserve">The </w:t>
      </w:r>
      <w:r w:rsidR="00B0032E">
        <w:rPr>
          <w:rFonts w:ascii="Times New Roman" w:hAnsi="Times New Roman"/>
          <w:sz w:val="24"/>
          <w:szCs w:val="24"/>
        </w:rPr>
        <w:t>LDEQ</w:t>
      </w:r>
      <w:r w:rsidR="007D7879">
        <w:rPr>
          <w:rFonts w:ascii="Times New Roman" w:hAnsi="Times New Roman"/>
          <w:sz w:val="24"/>
          <w:szCs w:val="24"/>
        </w:rPr>
        <w:t xml:space="preserve"> </w:t>
      </w:r>
      <w:r w:rsidR="00B0032E">
        <w:rPr>
          <w:rFonts w:ascii="Times New Roman" w:hAnsi="Times New Roman"/>
          <w:sz w:val="24"/>
          <w:szCs w:val="24"/>
        </w:rPr>
        <w:t xml:space="preserve">Air Permits Division </w:t>
      </w:r>
      <w:r w:rsidR="007D7879">
        <w:rPr>
          <w:rFonts w:ascii="Times New Roman" w:hAnsi="Times New Roman"/>
          <w:sz w:val="24"/>
          <w:szCs w:val="24"/>
        </w:rPr>
        <w:t>webpage will be revised accordingly.</w:t>
      </w:r>
    </w:p>
    <w:p w:rsidR="00B91A06" w:rsidRPr="00B46BA2" w:rsidRDefault="00B91A06" w:rsidP="00323282">
      <w:pPr>
        <w:spacing w:line="240" w:lineRule="exact"/>
        <w:rPr>
          <w:rFonts w:ascii="Times New Roman" w:hAnsi="Times New Roman"/>
          <w:sz w:val="24"/>
          <w:szCs w:val="24"/>
        </w:rPr>
      </w:pPr>
    </w:p>
    <w:p w:rsidR="001D1031" w:rsidRPr="00EE0CC7" w:rsidRDefault="00EC38A2" w:rsidP="00323282">
      <w:pPr>
        <w:pStyle w:val="Default"/>
        <w:spacing w:line="240" w:lineRule="exact"/>
        <w:ind w:firstLine="720"/>
        <w:jc w:val="both"/>
        <w:rPr>
          <w:color w:val="auto"/>
        </w:rPr>
      </w:pPr>
      <w:r w:rsidRPr="00EE0CC7">
        <w:rPr>
          <w:color w:val="auto"/>
        </w:rPr>
        <w:t xml:space="preserve">Questions </w:t>
      </w:r>
      <w:r w:rsidR="00BF4C6C" w:rsidRPr="00EE0CC7">
        <w:rPr>
          <w:color w:val="auto"/>
        </w:rPr>
        <w:t>regarding</w:t>
      </w:r>
      <w:r w:rsidR="00975B20" w:rsidRPr="00EE0CC7">
        <w:rPr>
          <w:color w:val="auto"/>
        </w:rPr>
        <w:t xml:space="preserve"> this notice </w:t>
      </w:r>
      <w:r w:rsidRPr="00EE0CC7">
        <w:rPr>
          <w:color w:val="auto"/>
        </w:rPr>
        <w:t>may be directed to Bryan D. Johnst</w:t>
      </w:r>
      <w:r w:rsidR="00E032EB" w:rsidRPr="00EE0CC7">
        <w:rPr>
          <w:color w:val="auto"/>
        </w:rPr>
        <w:t xml:space="preserve">on of the </w:t>
      </w:r>
      <w:r w:rsidR="00B0032E">
        <w:rPr>
          <w:color w:val="auto"/>
        </w:rPr>
        <w:t xml:space="preserve">LDEQ, </w:t>
      </w:r>
      <w:r w:rsidR="00E032EB" w:rsidRPr="00EE0CC7">
        <w:rPr>
          <w:color w:val="auto"/>
        </w:rPr>
        <w:t>Air Permits Division</w:t>
      </w:r>
      <w:r w:rsidRPr="00EE0CC7">
        <w:rPr>
          <w:color w:val="auto"/>
        </w:rPr>
        <w:t xml:space="preserve"> a</w:t>
      </w:r>
      <w:r w:rsidR="00AE4857" w:rsidRPr="00EE0CC7">
        <w:rPr>
          <w:color w:val="auto"/>
        </w:rPr>
        <w:t>t</w:t>
      </w:r>
      <w:r w:rsidRPr="00EE0CC7">
        <w:rPr>
          <w:color w:val="auto"/>
        </w:rPr>
        <w:t xml:space="preserve"> (225) 219-3450.</w:t>
      </w:r>
    </w:p>
    <w:p w:rsidR="00EC38A2" w:rsidRPr="00EE0CC7" w:rsidRDefault="00EC38A2" w:rsidP="00323282">
      <w:pPr>
        <w:spacing w:line="240" w:lineRule="exact"/>
        <w:ind w:left="4320"/>
        <w:rPr>
          <w:rFonts w:ascii="Times New Roman" w:hAnsi="Times New Roman"/>
          <w:sz w:val="24"/>
          <w:szCs w:val="24"/>
        </w:rPr>
      </w:pPr>
    </w:p>
    <w:p w:rsidR="001D1031" w:rsidRPr="00EE0CC7" w:rsidRDefault="00B0032E" w:rsidP="00323282">
      <w:pPr>
        <w:spacing w:line="240" w:lineRule="exact"/>
        <w:ind w:left="4320"/>
        <w:rPr>
          <w:rFonts w:ascii="Times New Roman" w:hAnsi="Times New Roman"/>
          <w:sz w:val="24"/>
          <w:szCs w:val="24"/>
        </w:rPr>
      </w:pPr>
      <w:r>
        <w:rPr>
          <w:rFonts w:ascii="Times New Roman" w:hAnsi="Times New Roman"/>
          <w:sz w:val="24"/>
          <w:szCs w:val="24"/>
        </w:rPr>
        <w:t>Herman Robinson</w:t>
      </w:r>
    </w:p>
    <w:p w:rsidR="00C43FEF" w:rsidRPr="001D1031" w:rsidRDefault="00EE0CC7" w:rsidP="00323282">
      <w:pPr>
        <w:spacing w:line="240" w:lineRule="exact"/>
        <w:ind w:left="4320"/>
        <w:rPr>
          <w:rFonts w:ascii="Times New Roman" w:hAnsi="Times New Roman"/>
          <w:sz w:val="24"/>
          <w:szCs w:val="24"/>
        </w:rPr>
      </w:pPr>
      <w:r>
        <w:rPr>
          <w:rFonts w:ascii="Times New Roman" w:hAnsi="Times New Roman"/>
          <w:sz w:val="24"/>
          <w:szCs w:val="24"/>
        </w:rPr>
        <w:t>General</w:t>
      </w:r>
      <w:r w:rsidR="001D1031" w:rsidRPr="001D1031">
        <w:rPr>
          <w:rFonts w:ascii="Times New Roman" w:hAnsi="Times New Roman"/>
          <w:sz w:val="24"/>
          <w:szCs w:val="24"/>
        </w:rPr>
        <w:t xml:space="preserve"> Counsel</w:t>
      </w:r>
    </w:p>
    <w:sectPr w:rsidR="00C43FEF" w:rsidRPr="001D1031" w:rsidSect="00323282">
      <w:head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4E8" w:rsidRDefault="007C34E8" w:rsidP="008A27AF">
      <w:r>
        <w:separator/>
      </w:r>
    </w:p>
  </w:endnote>
  <w:endnote w:type="continuationSeparator" w:id="0">
    <w:p w:rsidR="007C34E8" w:rsidRDefault="007C34E8" w:rsidP="008A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4E8" w:rsidRDefault="007C34E8" w:rsidP="008A27AF">
      <w:r>
        <w:separator/>
      </w:r>
    </w:p>
  </w:footnote>
  <w:footnote w:type="continuationSeparator" w:id="0">
    <w:p w:rsidR="007C34E8" w:rsidRDefault="007C34E8" w:rsidP="008A2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7AF" w:rsidRPr="008A27AF" w:rsidRDefault="008A27AF" w:rsidP="008A27AF">
    <w:pPr>
      <w:pStyle w:val="Header"/>
      <w:spacing w:line="240" w:lineRule="exact"/>
      <w:rPr>
        <w:rFonts w:ascii="Times New Roman" w:hAnsi="Times New Roman"/>
        <w:b/>
        <w:sz w:val="24"/>
        <w:szCs w:val="24"/>
      </w:rPr>
    </w:pPr>
    <w:r w:rsidRPr="008A27AF">
      <w:rPr>
        <w:rFonts w:ascii="Times New Roman" w:hAnsi="Times New Roman"/>
        <w:b/>
        <w:sz w:val="24"/>
        <w:szCs w:val="24"/>
      </w:rPr>
      <w:t>Published/</w:t>
    </w:r>
    <w:r w:rsidR="00EE0CC7">
      <w:rPr>
        <w:rFonts w:ascii="Times New Roman" w:hAnsi="Times New Roman"/>
        <w:b/>
        <w:sz w:val="24"/>
        <w:szCs w:val="24"/>
      </w:rPr>
      <w:t>July</w:t>
    </w:r>
    <w:r w:rsidRPr="008A27AF">
      <w:rPr>
        <w:rFonts w:ascii="Times New Roman" w:hAnsi="Times New Roman"/>
        <w:b/>
        <w:sz w:val="24"/>
        <w:szCs w:val="24"/>
      </w:rPr>
      <w:t xml:space="preserve"> 20, 201</w:t>
    </w:r>
    <w:r w:rsidR="00EE0CC7">
      <w:rPr>
        <w:rFonts w:ascii="Times New Roman" w:hAnsi="Times New Roman"/>
        <w:b/>
        <w:sz w:val="24"/>
        <w:szCs w:val="24"/>
      </w:rPr>
      <w:t>6</w:t>
    </w:r>
    <w:r>
      <w:rPr>
        <w:rFonts w:ascii="Times New Roman" w:hAnsi="Times New Roman"/>
        <w:b/>
        <w:sz w:val="24"/>
        <w:szCs w:val="24"/>
      </w:rPr>
      <w:tab/>
    </w:r>
    <w:r w:rsidRPr="008A27AF">
      <w:rPr>
        <w:rFonts w:ascii="Times New Roman" w:hAnsi="Times New Roman"/>
        <w:b/>
        <w:sz w:val="24"/>
        <w:szCs w:val="24"/>
      </w:rPr>
      <w:tab/>
    </w:r>
    <w:r w:rsidR="00EE0CC7">
      <w:rPr>
        <w:rFonts w:ascii="Times New Roman" w:hAnsi="Times New Roman"/>
        <w:b/>
        <w:sz w:val="24"/>
        <w:szCs w:val="24"/>
      </w:rPr>
      <w:t>16</w:t>
    </w:r>
    <w:r w:rsidRPr="008A27AF">
      <w:rPr>
        <w:rFonts w:ascii="Times New Roman" w:hAnsi="Times New Roman"/>
        <w:b/>
        <w:sz w:val="24"/>
        <w:szCs w:val="24"/>
      </w:rPr>
      <w:t>0</w:t>
    </w:r>
    <w:r w:rsidR="00EE0CC7">
      <w:rPr>
        <w:rFonts w:ascii="Times New Roman" w:hAnsi="Times New Roman"/>
        <w:b/>
        <w:sz w:val="24"/>
        <w:szCs w:val="24"/>
      </w:rPr>
      <w:t>7</w:t>
    </w:r>
    <w:r w:rsidRPr="008A27AF">
      <w:rPr>
        <w:rFonts w:ascii="Times New Roman" w:hAnsi="Times New Roman"/>
        <w:b/>
        <w:sz w:val="24"/>
        <w:szCs w:val="24"/>
      </w:rPr>
      <w:t>Pot</w:t>
    </w:r>
    <w:r w:rsidR="00BF4C6C">
      <w:rPr>
        <w:rFonts w:ascii="Times New Roman" w:hAnsi="Times New Roman"/>
        <w:b/>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1BD7"/>
    <w:multiLevelType w:val="hybridMultilevel"/>
    <w:tmpl w:val="5B5AE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166E6"/>
    <w:multiLevelType w:val="hybridMultilevel"/>
    <w:tmpl w:val="B0AEA6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CC9714D"/>
    <w:multiLevelType w:val="hybridMultilevel"/>
    <w:tmpl w:val="F3DE19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C565E8"/>
    <w:multiLevelType w:val="hybridMultilevel"/>
    <w:tmpl w:val="82A471B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2586E818">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D3421B"/>
    <w:multiLevelType w:val="hybridMultilevel"/>
    <w:tmpl w:val="7FD6A900"/>
    <w:lvl w:ilvl="0" w:tplc="04090001">
      <w:start w:val="1"/>
      <w:numFmt w:val="bullet"/>
      <w:lvlText w:val=""/>
      <w:lvlJc w:val="left"/>
      <w:pPr>
        <w:tabs>
          <w:tab w:val="num" w:pos="720"/>
        </w:tabs>
        <w:ind w:left="720" w:hanging="360"/>
      </w:pPr>
      <w:rPr>
        <w:rFonts w:ascii="Symbol" w:hAnsi="Symbol" w:hint="default"/>
      </w:rPr>
    </w:lvl>
    <w:lvl w:ilvl="1" w:tplc="84985A5E" w:tentative="1">
      <w:start w:val="1"/>
      <w:numFmt w:val="bullet"/>
      <w:lvlText w:val=""/>
      <w:lvlJc w:val="left"/>
      <w:pPr>
        <w:tabs>
          <w:tab w:val="num" w:pos="1440"/>
        </w:tabs>
        <w:ind w:left="1440" w:hanging="360"/>
      </w:pPr>
      <w:rPr>
        <w:rFonts w:ascii="Wingdings" w:hAnsi="Wingdings" w:hint="default"/>
      </w:rPr>
    </w:lvl>
    <w:lvl w:ilvl="2" w:tplc="62B402A6" w:tentative="1">
      <w:start w:val="1"/>
      <w:numFmt w:val="bullet"/>
      <w:lvlText w:val=""/>
      <w:lvlJc w:val="left"/>
      <w:pPr>
        <w:tabs>
          <w:tab w:val="num" w:pos="2160"/>
        </w:tabs>
        <w:ind w:left="2160" w:hanging="360"/>
      </w:pPr>
      <w:rPr>
        <w:rFonts w:ascii="Wingdings" w:hAnsi="Wingdings" w:hint="default"/>
      </w:rPr>
    </w:lvl>
    <w:lvl w:ilvl="3" w:tplc="085ADBD0" w:tentative="1">
      <w:start w:val="1"/>
      <w:numFmt w:val="bullet"/>
      <w:lvlText w:val=""/>
      <w:lvlJc w:val="left"/>
      <w:pPr>
        <w:tabs>
          <w:tab w:val="num" w:pos="2880"/>
        </w:tabs>
        <w:ind w:left="2880" w:hanging="360"/>
      </w:pPr>
      <w:rPr>
        <w:rFonts w:ascii="Wingdings" w:hAnsi="Wingdings" w:hint="default"/>
      </w:rPr>
    </w:lvl>
    <w:lvl w:ilvl="4" w:tplc="543882F4" w:tentative="1">
      <w:start w:val="1"/>
      <w:numFmt w:val="bullet"/>
      <w:lvlText w:val=""/>
      <w:lvlJc w:val="left"/>
      <w:pPr>
        <w:tabs>
          <w:tab w:val="num" w:pos="3600"/>
        </w:tabs>
        <w:ind w:left="3600" w:hanging="360"/>
      </w:pPr>
      <w:rPr>
        <w:rFonts w:ascii="Wingdings" w:hAnsi="Wingdings" w:hint="default"/>
      </w:rPr>
    </w:lvl>
    <w:lvl w:ilvl="5" w:tplc="51BE5E2C" w:tentative="1">
      <w:start w:val="1"/>
      <w:numFmt w:val="bullet"/>
      <w:lvlText w:val=""/>
      <w:lvlJc w:val="left"/>
      <w:pPr>
        <w:tabs>
          <w:tab w:val="num" w:pos="4320"/>
        </w:tabs>
        <w:ind w:left="4320" w:hanging="360"/>
      </w:pPr>
      <w:rPr>
        <w:rFonts w:ascii="Wingdings" w:hAnsi="Wingdings" w:hint="default"/>
      </w:rPr>
    </w:lvl>
    <w:lvl w:ilvl="6" w:tplc="249E2DB6" w:tentative="1">
      <w:start w:val="1"/>
      <w:numFmt w:val="bullet"/>
      <w:lvlText w:val=""/>
      <w:lvlJc w:val="left"/>
      <w:pPr>
        <w:tabs>
          <w:tab w:val="num" w:pos="5040"/>
        </w:tabs>
        <w:ind w:left="5040" w:hanging="360"/>
      </w:pPr>
      <w:rPr>
        <w:rFonts w:ascii="Wingdings" w:hAnsi="Wingdings" w:hint="default"/>
      </w:rPr>
    </w:lvl>
    <w:lvl w:ilvl="7" w:tplc="1924F57A" w:tentative="1">
      <w:start w:val="1"/>
      <w:numFmt w:val="bullet"/>
      <w:lvlText w:val=""/>
      <w:lvlJc w:val="left"/>
      <w:pPr>
        <w:tabs>
          <w:tab w:val="num" w:pos="5760"/>
        </w:tabs>
        <w:ind w:left="5760" w:hanging="360"/>
      </w:pPr>
      <w:rPr>
        <w:rFonts w:ascii="Wingdings" w:hAnsi="Wingdings" w:hint="default"/>
      </w:rPr>
    </w:lvl>
    <w:lvl w:ilvl="8" w:tplc="E8F45494" w:tentative="1">
      <w:start w:val="1"/>
      <w:numFmt w:val="bullet"/>
      <w:lvlText w:val=""/>
      <w:lvlJc w:val="left"/>
      <w:pPr>
        <w:tabs>
          <w:tab w:val="num" w:pos="6480"/>
        </w:tabs>
        <w:ind w:left="6480" w:hanging="360"/>
      </w:pPr>
      <w:rPr>
        <w:rFonts w:ascii="Wingdings" w:hAnsi="Wingdings" w:hint="default"/>
      </w:rPr>
    </w:lvl>
  </w:abstractNum>
  <w:abstractNum w:abstractNumId="5">
    <w:nsid w:val="413968C2"/>
    <w:multiLevelType w:val="hybridMultilevel"/>
    <w:tmpl w:val="4880EBF6"/>
    <w:lvl w:ilvl="0" w:tplc="04090005">
      <w:start w:val="1"/>
      <w:numFmt w:val="bullet"/>
      <w:lvlText w:val=""/>
      <w:lvlJc w:val="left"/>
      <w:pPr>
        <w:tabs>
          <w:tab w:val="num" w:pos="720"/>
        </w:tabs>
        <w:ind w:left="720" w:hanging="360"/>
      </w:pPr>
      <w:rPr>
        <w:rFonts w:ascii="Wingdings" w:hAnsi="Wingdings" w:hint="default"/>
      </w:rPr>
    </w:lvl>
    <w:lvl w:ilvl="1" w:tplc="84985A5E" w:tentative="1">
      <w:start w:val="1"/>
      <w:numFmt w:val="bullet"/>
      <w:lvlText w:val=""/>
      <w:lvlJc w:val="left"/>
      <w:pPr>
        <w:tabs>
          <w:tab w:val="num" w:pos="1440"/>
        </w:tabs>
        <w:ind w:left="1440" w:hanging="360"/>
      </w:pPr>
      <w:rPr>
        <w:rFonts w:ascii="Wingdings" w:hAnsi="Wingdings" w:hint="default"/>
      </w:rPr>
    </w:lvl>
    <w:lvl w:ilvl="2" w:tplc="62B402A6" w:tentative="1">
      <w:start w:val="1"/>
      <w:numFmt w:val="bullet"/>
      <w:lvlText w:val=""/>
      <w:lvlJc w:val="left"/>
      <w:pPr>
        <w:tabs>
          <w:tab w:val="num" w:pos="2160"/>
        </w:tabs>
        <w:ind w:left="2160" w:hanging="360"/>
      </w:pPr>
      <w:rPr>
        <w:rFonts w:ascii="Wingdings" w:hAnsi="Wingdings" w:hint="default"/>
      </w:rPr>
    </w:lvl>
    <w:lvl w:ilvl="3" w:tplc="085ADBD0" w:tentative="1">
      <w:start w:val="1"/>
      <w:numFmt w:val="bullet"/>
      <w:lvlText w:val=""/>
      <w:lvlJc w:val="left"/>
      <w:pPr>
        <w:tabs>
          <w:tab w:val="num" w:pos="2880"/>
        </w:tabs>
        <w:ind w:left="2880" w:hanging="360"/>
      </w:pPr>
      <w:rPr>
        <w:rFonts w:ascii="Wingdings" w:hAnsi="Wingdings" w:hint="default"/>
      </w:rPr>
    </w:lvl>
    <w:lvl w:ilvl="4" w:tplc="543882F4" w:tentative="1">
      <w:start w:val="1"/>
      <w:numFmt w:val="bullet"/>
      <w:lvlText w:val=""/>
      <w:lvlJc w:val="left"/>
      <w:pPr>
        <w:tabs>
          <w:tab w:val="num" w:pos="3600"/>
        </w:tabs>
        <w:ind w:left="3600" w:hanging="360"/>
      </w:pPr>
      <w:rPr>
        <w:rFonts w:ascii="Wingdings" w:hAnsi="Wingdings" w:hint="default"/>
      </w:rPr>
    </w:lvl>
    <w:lvl w:ilvl="5" w:tplc="51BE5E2C" w:tentative="1">
      <w:start w:val="1"/>
      <w:numFmt w:val="bullet"/>
      <w:lvlText w:val=""/>
      <w:lvlJc w:val="left"/>
      <w:pPr>
        <w:tabs>
          <w:tab w:val="num" w:pos="4320"/>
        </w:tabs>
        <w:ind w:left="4320" w:hanging="360"/>
      </w:pPr>
      <w:rPr>
        <w:rFonts w:ascii="Wingdings" w:hAnsi="Wingdings" w:hint="default"/>
      </w:rPr>
    </w:lvl>
    <w:lvl w:ilvl="6" w:tplc="249E2DB6" w:tentative="1">
      <w:start w:val="1"/>
      <w:numFmt w:val="bullet"/>
      <w:lvlText w:val=""/>
      <w:lvlJc w:val="left"/>
      <w:pPr>
        <w:tabs>
          <w:tab w:val="num" w:pos="5040"/>
        </w:tabs>
        <w:ind w:left="5040" w:hanging="360"/>
      </w:pPr>
      <w:rPr>
        <w:rFonts w:ascii="Wingdings" w:hAnsi="Wingdings" w:hint="default"/>
      </w:rPr>
    </w:lvl>
    <w:lvl w:ilvl="7" w:tplc="1924F57A" w:tentative="1">
      <w:start w:val="1"/>
      <w:numFmt w:val="bullet"/>
      <w:lvlText w:val=""/>
      <w:lvlJc w:val="left"/>
      <w:pPr>
        <w:tabs>
          <w:tab w:val="num" w:pos="5760"/>
        </w:tabs>
        <w:ind w:left="5760" w:hanging="360"/>
      </w:pPr>
      <w:rPr>
        <w:rFonts w:ascii="Wingdings" w:hAnsi="Wingdings" w:hint="default"/>
      </w:rPr>
    </w:lvl>
    <w:lvl w:ilvl="8" w:tplc="E8F4549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D4C"/>
    <w:rsid w:val="00010794"/>
    <w:rsid w:val="00023A2E"/>
    <w:rsid w:val="000A130E"/>
    <w:rsid w:val="000D22BB"/>
    <w:rsid w:val="000E6D93"/>
    <w:rsid w:val="001B6647"/>
    <w:rsid w:val="001C252C"/>
    <w:rsid w:val="001C7E4A"/>
    <w:rsid w:val="001D1031"/>
    <w:rsid w:val="001F5CD4"/>
    <w:rsid w:val="00240163"/>
    <w:rsid w:val="00241397"/>
    <w:rsid w:val="00250263"/>
    <w:rsid w:val="00256608"/>
    <w:rsid w:val="00256B71"/>
    <w:rsid w:val="00280277"/>
    <w:rsid w:val="002C1E68"/>
    <w:rsid w:val="003022CE"/>
    <w:rsid w:val="003176CC"/>
    <w:rsid w:val="00323282"/>
    <w:rsid w:val="0038006C"/>
    <w:rsid w:val="00397D4F"/>
    <w:rsid w:val="00427375"/>
    <w:rsid w:val="00440A83"/>
    <w:rsid w:val="00453016"/>
    <w:rsid w:val="004A3EC5"/>
    <w:rsid w:val="004B2ECD"/>
    <w:rsid w:val="004E6B34"/>
    <w:rsid w:val="00503D84"/>
    <w:rsid w:val="00525539"/>
    <w:rsid w:val="0053036B"/>
    <w:rsid w:val="00565272"/>
    <w:rsid w:val="00631AD6"/>
    <w:rsid w:val="00643341"/>
    <w:rsid w:val="00672A0D"/>
    <w:rsid w:val="0067479E"/>
    <w:rsid w:val="00686273"/>
    <w:rsid w:val="006D3673"/>
    <w:rsid w:val="006F20D8"/>
    <w:rsid w:val="00706675"/>
    <w:rsid w:val="0077688C"/>
    <w:rsid w:val="007C34E8"/>
    <w:rsid w:val="007D7879"/>
    <w:rsid w:val="00803546"/>
    <w:rsid w:val="008155A7"/>
    <w:rsid w:val="00815D3A"/>
    <w:rsid w:val="008170E7"/>
    <w:rsid w:val="008279DB"/>
    <w:rsid w:val="0084444B"/>
    <w:rsid w:val="008629FB"/>
    <w:rsid w:val="008A10EC"/>
    <w:rsid w:val="008A27AF"/>
    <w:rsid w:val="009079DB"/>
    <w:rsid w:val="009623B6"/>
    <w:rsid w:val="0096636E"/>
    <w:rsid w:val="009703F3"/>
    <w:rsid w:val="00975B20"/>
    <w:rsid w:val="00994ACE"/>
    <w:rsid w:val="009F0B3F"/>
    <w:rsid w:val="00A84656"/>
    <w:rsid w:val="00A961CD"/>
    <w:rsid w:val="00AD6B0B"/>
    <w:rsid w:val="00AE4857"/>
    <w:rsid w:val="00B0032E"/>
    <w:rsid w:val="00B046CD"/>
    <w:rsid w:val="00B14E67"/>
    <w:rsid w:val="00B46BA2"/>
    <w:rsid w:val="00B70EFD"/>
    <w:rsid w:val="00B72343"/>
    <w:rsid w:val="00B91A06"/>
    <w:rsid w:val="00BF4C6C"/>
    <w:rsid w:val="00BF5A72"/>
    <w:rsid w:val="00C12C19"/>
    <w:rsid w:val="00C3252B"/>
    <w:rsid w:val="00C43FEF"/>
    <w:rsid w:val="00C4545F"/>
    <w:rsid w:val="00C5263B"/>
    <w:rsid w:val="00CA14E0"/>
    <w:rsid w:val="00CA33BB"/>
    <w:rsid w:val="00CD61B7"/>
    <w:rsid w:val="00CF71D8"/>
    <w:rsid w:val="00D238D9"/>
    <w:rsid w:val="00DC6791"/>
    <w:rsid w:val="00DE12E4"/>
    <w:rsid w:val="00DE3D4C"/>
    <w:rsid w:val="00E032EB"/>
    <w:rsid w:val="00E70513"/>
    <w:rsid w:val="00E82875"/>
    <w:rsid w:val="00EC29D5"/>
    <w:rsid w:val="00EC38A2"/>
    <w:rsid w:val="00EE0CC7"/>
    <w:rsid w:val="00EE72DF"/>
    <w:rsid w:val="00F00483"/>
    <w:rsid w:val="00F3137A"/>
    <w:rsid w:val="00FA7374"/>
    <w:rsid w:val="00FD5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6F20D8"/>
    <w:rPr>
      <w:rFonts w:ascii="SimSun" w:eastAsia="SimSun" w:hAnsi="SimSun"/>
      <w:lang w:eastAsia="zh-CN"/>
    </w:rPr>
  </w:style>
  <w:style w:type="paragraph" w:styleId="ListParagraph">
    <w:name w:val="List Paragraph"/>
    <w:basedOn w:val="Normal"/>
    <w:link w:val="ListParagraphChar"/>
    <w:uiPriority w:val="34"/>
    <w:qFormat/>
    <w:rsid w:val="006F20D8"/>
    <w:pPr>
      <w:ind w:left="720"/>
    </w:pPr>
    <w:rPr>
      <w:rFonts w:ascii="SimSun" w:eastAsia="SimSun" w:hAnsi="SimSun" w:cstheme="minorBidi"/>
      <w:lang w:eastAsia="zh-CN"/>
    </w:rPr>
  </w:style>
  <w:style w:type="paragraph" w:customStyle="1" w:styleId="Default">
    <w:name w:val="Default"/>
    <w:rsid w:val="001D1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27AF"/>
    <w:pPr>
      <w:tabs>
        <w:tab w:val="center" w:pos="4680"/>
        <w:tab w:val="right" w:pos="9360"/>
      </w:tabs>
    </w:pPr>
  </w:style>
  <w:style w:type="character" w:customStyle="1" w:styleId="HeaderChar">
    <w:name w:val="Header Char"/>
    <w:basedOn w:val="DefaultParagraphFont"/>
    <w:link w:val="Header"/>
    <w:uiPriority w:val="99"/>
    <w:rsid w:val="008A27AF"/>
    <w:rPr>
      <w:rFonts w:ascii="Calibri" w:hAnsi="Calibri" w:cs="Times New Roman"/>
    </w:rPr>
  </w:style>
  <w:style w:type="paragraph" w:styleId="Footer">
    <w:name w:val="footer"/>
    <w:basedOn w:val="Normal"/>
    <w:link w:val="FooterChar"/>
    <w:uiPriority w:val="99"/>
    <w:unhideWhenUsed/>
    <w:rsid w:val="008A27AF"/>
    <w:pPr>
      <w:tabs>
        <w:tab w:val="center" w:pos="4680"/>
        <w:tab w:val="right" w:pos="9360"/>
      </w:tabs>
    </w:pPr>
  </w:style>
  <w:style w:type="character" w:customStyle="1" w:styleId="FooterChar">
    <w:name w:val="Footer Char"/>
    <w:basedOn w:val="DefaultParagraphFont"/>
    <w:link w:val="Footer"/>
    <w:uiPriority w:val="99"/>
    <w:rsid w:val="008A27AF"/>
    <w:rPr>
      <w:rFonts w:ascii="Calibri" w:hAnsi="Calibri" w:cs="Times New Roman"/>
    </w:rPr>
  </w:style>
  <w:style w:type="character" w:styleId="Strong">
    <w:name w:val="Strong"/>
    <w:basedOn w:val="DefaultParagraphFont"/>
    <w:uiPriority w:val="22"/>
    <w:qFormat/>
    <w:rsid w:val="001C252C"/>
    <w:rPr>
      <w:b/>
      <w:bCs/>
    </w:rPr>
  </w:style>
  <w:style w:type="character" w:styleId="Hyperlink">
    <w:name w:val="Hyperlink"/>
    <w:basedOn w:val="DefaultParagraphFont"/>
    <w:uiPriority w:val="99"/>
    <w:unhideWhenUsed/>
    <w:rsid w:val="000A130E"/>
    <w:rPr>
      <w:color w:val="0000FF" w:themeColor="hyperlink"/>
      <w:u w:val="single"/>
    </w:rPr>
  </w:style>
  <w:style w:type="paragraph" w:styleId="FootnoteText">
    <w:name w:val="footnote text"/>
    <w:basedOn w:val="Normal"/>
    <w:link w:val="FootnoteTextChar"/>
    <w:uiPriority w:val="99"/>
    <w:semiHidden/>
    <w:rsid w:val="00427375"/>
    <w:pPr>
      <w:widowControl w:val="0"/>
    </w:pPr>
    <w:rPr>
      <w:rFonts w:ascii="Courier New" w:eastAsia="Times New Roman" w:hAnsi="Courier New"/>
      <w:sz w:val="24"/>
      <w:szCs w:val="20"/>
    </w:rPr>
  </w:style>
  <w:style w:type="character" w:customStyle="1" w:styleId="FootnoteTextChar">
    <w:name w:val="Footnote Text Char"/>
    <w:basedOn w:val="DefaultParagraphFont"/>
    <w:link w:val="FootnoteText"/>
    <w:uiPriority w:val="99"/>
    <w:semiHidden/>
    <w:rsid w:val="00427375"/>
    <w:rPr>
      <w:rFonts w:ascii="Courier New" w:eastAsia="Times New Roman" w:hAnsi="Courier New" w:cs="Times New Roman"/>
      <w:sz w:val="24"/>
      <w:szCs w:val="20"/>
    </w:rPr>
  </w:style>
  <w:style w:type="character" w:styleId="FootnoteReference">
    <w:name w:val="footnote reference"/>
    <w:uiPriority w:val="99"/>
    <w:semiHidden/>
    <w:rsid w:val="00427375"/>
    <w:rPr>
      <w:vertAlign w:val="superscript"/>
    </w:rPr>
  </w:style>
  <w:style w:type="character" w:customStyle="1" w:styleId="moduletitle">
    <w:name w:val="module_title"/>
    <w:basedOn w:val="DefaultParagraphFont"/>
    <w:rsid w:val="004530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0D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6F20D8"/>
    <w:rPr>
      <w:rFonts w:ascii="SimSun" w:eastAsia="SimSun" w:hAnsi="SimSun"/>
      <w:lang w:eastAsia="zh-CN"/>
    </w:rPr>
  </w:style>
  <w:style w:type="paragraph" w:styleId="ListParagraph">
    <w:name w:val="List Paragraph"/>
    <w:basedOn w:val="Normal"/>
    <w:link w:val="ListParagraphChar"/>
    <w:uiPriority w:val="34"/>
    <w:qFormat/>
    <w:rsid w:val="006F20D8"/>
    <w:pPr>
      <w:ind w:left="720"/>
    </w:pPr>
    <w:rPr>
      <w:rFonts w:ascii="SimSun" w:eastAsia="SimSun" w:hAnsi="SimSun" w:cstheme="minorBidi"/>
      <w:lang w:eastAsia="zh-CN"/>
    </w:rPr>
  </w:style>
  <w:style w:type="paragraph" w:customStyle="1" w:styleId="Default">
    <w:name w:val="Default"/>
    <w:rsid w:val="001D1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A27AF"/>
    <w:pPr>
      <w:tabs>
        <w:tab w:val="center" w:pos="4680"/>
        <w:tab w:val="right" w:pos="9360"/>
      </w:tabs>
    </w:pPr>
  </w:style>
  <w:style w:type="character" w:customStyle="1" w:styleId="HeaderChar">
    <w:name w:val="Header Char"/>
    <w:basedOn w:val="DefaultParagraphFont"/>
    <w:link w:val="Header"/>
    <w:uiPriority w:val="99"/>
    <w:rsid w:val="008A27AF"/>
    <w:rPr>
      <w:rFonts w:ascii="Calibri" w:hAnsi="Calibri" w:cs="Times New Roman"/>
    </w:rPr>
  </w:style>
  <w:style w:type="paragraph" w:styleId="Footer">
    <w:name w:val="footer"/>
    <w:basedOn w:val="Normal"/>
    <w:link w:val="FooterChar"/>
    <w:uiPriority w:val="99"/>
    <w:unhideWhenUsed/>
    <w:rsid w:val="008A27AF"/>
    <w:pPr>
      <w:tabs>
        <w:tab w:val="center" w:pos="4680"/>
        <w:tab w:val="right" w:pos="9360"/>
      </w:tabs>
    </w:pPr>
  </w:style>
  <w:style w:type="character" w:customStyle="1" w:styleId="FooterChar">
    <w:name w:val="Footer Char"/>
    <w:basedOn w:val="DefaultParagraphFont"/>
    <w:link w:val="Footer"/>
    <w:uiPriority w:val="99"/>
    <w:rsid w:val="008A27AF"/>
    <w:rPr>
      <w:rFonts w:ascii="Calibri" w:hAnsi="Calibri" w:cs="Times New Roman"/>
    </w:rPr>
  </w:style>
  <w:style w:type="character" w:styleId="Strong">
    <w:name w:val="Strong"/>
    <w:basedOn w:val="DefaultParagraphFont"/>
    <w:uiPriority w:val="22"/>
    <w:qFormat/>
    <w:rsid w:val="001C252C"/>
    <w:rPr>
      <w:b/>
      <w:bCs/>
    </w:rPr>
  </w:style>
  <w:style w:type="character" w:styleId="Hyperlink">
    <w:name w:val="Hyperlink"/>
    <w:basedOn w:val="DefaultParagraphFont"/>
    <w:uiPriority w:val="99"/>
    <w:unhideWhenUsed/>
    <w:rsid w:val="000A130E"/>
    <w:rPr>
      <w:color w:val="0000FF" w:themeColor="hyperlink"/>
      <w:u w:val="single"/>
    </w:rPr>
  </w:style>
  <w:style w:type="paragraph" w:styleId="FootnoteText">
    <w:name w:val="footnote text"/>
    <w:basedOn w:val="Normal"/>
    <w:link w:val="FootnoteTextChar"/>
    <w:uiPriority w:val="99"/>
    <w:semiHidden/>
    <w:rsid w:val="00427375"/>
    <w:pPr>
      <w:widowControl w:val="0"/>
    </w:pPr>
    <w:rPr>
      <w:rFonts w:ascii="Courier New" w:eastAsia="Times New Roman" w:hAnsi="Courier New"/>
      <w:sz w:val="24"/>
      <w:szCs w:val="20"/>
    </w:rPr>
  </w:style>
  <w:style w:type="character" w:customStyle="1" w:styleId="FootnoteTextChar">
    <w:name w:val="Footnote Text Char"/>
    <w:basedOn w:val="DefaultParagraphFont"/>
    <w:link w:val="FootnoteText"/>
    <w:uiPriority w:val="99"/>
    <w:semiHidden/>
    <w:rsid w:val="00427375"/>
    <w:rPr>
      <w:rFonts w:ascii="Courier New" w:eastAsia="Times New Roman" w:hAnsi="Courier New" w:cs="Times New Roman"/>
      <w:sz w:val="24"/>
      <w:szCs w:val="20"/>
    </w:rPr>
  </w:style>
  <w:style w:type="character" w:styleId="FootnoteReference">
    <w:name w:val="footnote reference"/>
    <w:uiPriority w:val="99"/>
    <w:semiHidden/>
    <w:rsid w:val="00427375"/>
    <w:rPr>
      <w:vertAlign w:val="superscript"/>
    </w:rPr>
  </w:style>
  <w:style w:type="character" w:customStyle="1" w:styleId="moduletitle">
    <w:name w:val="module_title"/>
    <w:basedOn w:val="DefaultParagraphFont"/>
    <w:rsid w:val="00453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398052">
      <w:bodyDiv w:val="1"/>
      <w:marLeft w:val="0"/>
      <w:marRight w:val="0"/>
      <w:marTop w:val="0"/>
      <w:marBottom w:val="0"/>
      <w:divBdr>
        <w:top w:val="none" w:sz="0" w:space="0" w:color="auto"/>
        <w:left w:val="none" w:sz="0" w:space="0" w:color="auto"/>
        <w:bottom w:val="none" w:sz="0" w:space="0" w:color="auto"/>
        <w:right w:val="none" w:sz="0" w:space="0" w:color="auto"/>
      </w:divBdr>
    </w:div>
    <w:div w:id="103588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Helpline</cp:lastModifiedBy>
  <cp:revision>2</cp:revision>
  <cp:lastPrinted>2015-03-05T14:22:00Z</cp:lastPrinted>
  <dcterms:created xsi:type="dcterms:W3CDTF">2016-07-08T14:16:00Z</dcterms:created>
  <dcterms:modified xsi:type="dcterms:W3CDTF">2016-07-08T14:16:00Z</dcterms:modified>
</cp:coreProperties>
</file>